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7A5B" w:rsidRDefault="009B7A5B" w:rsidP="009B7A5B">
      <w:pPr>
        <w:jc w:val="center"/>
      </w:pPr>
      <w:r w:rsidRPr="00D25974">
        <w:rPr>
          <w:noProof/>
          <w:lang w:bidi="ar-SA"/>
        </w:rPr>
        <w:drawing>
          <wp:inline distT="0" distB="0" distL="0" distR="0">
            <wp:extent cx="914400" cy="571500"/>
            <wp:effectExtent l="0" t="0" r="0" b="0"/>
            <wp:docPr id="2" name="Kép 1" descr="C:\Users\User\Documents\PPT\cd_news_c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User\Documents\PPT\cd_news_ceu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p w:rsidR="009B7A5B" w:rsidRPr="00C5772F" w:rsidRDefault="009B7A5B" w:rsidP="009B7A5B">
      <w:pPr>
        <w:jc w:val="center"/>
        <w:rPr>
          <w:sz w:val="28"/>
          <w:szCs w:val="28"/>
        </w:rPr>
      </w:pPr>
    </w:p>
    <w:p w:rsidR="009B7A5B" w:rsidRPr="00C5772F" w:rsidRDefault="009B7A5B" w:rsidP="009B7A5B">
      <w:pPr>
        <w:jc w:val="center"/>
        <w:rPr>
          <w:rFonts w:ascii="Times New Roman" w:hAnsi="Times New Roman" w:cs="Times New Roman"/>
          <w:sz w:val="28"/>
          <w:szCs w:val="28"/>
        </w:rPr>
      </w:pPr>
      <w:r w:rsidRPr="00C5772F">
        <w:rPr>
          <w:rFonts w:ascii="Times New Roman" w:hAnsi="Times New Roman" w:cs="Times New Roman"/>
          <w:sz w:val="28"/>
          <w:szCs w:val="28"/>
        </w:rPr>
        <w:t xml:space="preserve">The Public Defense of the Doctoral Dissertation </w:t>
      </w:r>
    </w:p>
    <w:p w:rsidR="009B7A5B" w:rsidRPr="00C5772F" w:rsidRDefault="009B7A5B" w:rsidP="009B7A5B">
      <w:pPr>
        <w:jc w:val="center"/>
        <w:rPr>
          <w:rFonts w:ascii="Times New Roman" w:hAnsi="Times New Roman" w:cs="Times New Roman"/>
          <w:sz w:val="28"/>
          <w:szCs w:val="28"/>
        </w:rPr>
      </w:pPr>
      <w:r w:rsidRPr="00C5772F">
        <w:rPr>
          <w:rFonts w:ascii="Times New Roman" w:hAnsi="Times New Roman" w:cs="Times New Roman"/>
          <w:sz w:val="28"/>
          <w:szCs w:val="28"/>
        </w:rPr>
        <w:t xml:space="preserve">of </w:t>
      </w:r>
    </w:p>
    <w:p w:rsidR="009B7A5B" w:rsidRPr="00C5772F" w:rsidRDefault="009B7A5B" w:rsidP="009B7A5B">
      <w:pPr>
        <w:jc w:val="center"/>
        <w:rPr>
          <w:rFonts w:ascii="Times New Roman" w:hAnsi="Times New Roman" w:cs="Times New Roman"/>
          <w:b/>
          <w:sz w:val="28"/>
          <w:szCs w:val="28"/>
        </w:rPr>
      </w:pPr>
      <w:r>
        <w:rPr>
          <w:rFonts w:ascii="Times New Roman" w:hAnsi="Times New Roman" w:cs="Times New Roman"/>
          <w:b/>
          <w:sz w:val="28"/>
          <w:szCs w:val="28"/>
        </w:rPr>
        <w:t>Noel Putnik</w:t>
      </w:r>
    </w:p>
    <w:p w:rsidR="009B7A5B" w:rsidRPr="00C5772F" w:rsidRDefault="009B7A5B" w:rsidP="009B7A5B">
      <w:pPr>
        <w:jc w:val="center"/>
        <w:rPr>
          <w:rFonts w:ascii="Times New Roman" w:hAnsi="Times New Roman" w:cs="Times New Roman"/>
          <w:sz w:val="28"/>
          <w:szCs w:val="28"/>
        </w:rPr>
      </w:pPr>
      <w:r w:rsidRPr="00C5772F">
        <w:rPr>
          <w:rFonts w:ascii="Times New Roman" w:hAnsi="Times New Roman" w:cs="Times New Roman"/>
          <w:sz w:val="28"/>
          <w:szCs w:val="28"/>
        </w:rPr>
        <w:t>entitled</w:t>
      </w:r>
    </w:p>
    <w:p w:rsidR="009B7A5B" w:rsidRDefault="009B7A5B" w:rsidP="009B7A5B">
      <w:pPr>
        <w:jc w:val="center"/>
        <w:rPr>
          <w:rFonts w:ascii="Times New Roman" w:hAnsi="Times New Roman" w:cs="Times New Roman"/>
          <w:b/>
          <w:sz w:val="28"/>
          <w:szCs w:val="28"/>
        </w:rPr>
      </w:pPr>
      <w:proofErr w:type="spellStart"/>
      <w:r w:rsidRPr="00901B91">
        <w:rPr>
          <w:rFonts w:ascii="Times New Roman" w:hAnsi="Times New Roman" w:cs="Times New Roman"/>
          <w:b/>
          <w:sz w:val="28"/>
          <w:szCs w:val="28"/>
        </w:rPr>
        <w:t>Obtinere</w:t>
      </w:r>
      <w:proofErr w:type="spellEnd"/>
      <w:r w:rsidRPr="00901B91">
        <w:rPr>
          <w:rFonts w:ascii="Times New Roman" w:hAnsi="Times New Roman" w:cs="Times New Roman"/>
          <w:b/>
          <w:sz w:val="28"/>
          <w:szCs w:val="28"/>
        </w:rPr>
        <w:t xml:space="preserve"> </w:t>
      </w:r>
      <w:proofErr w:type="spellStart"/>
      <w:r w:rsidRPr="00901B91">
        <w:rPr>
          <w:rFonts w:ascii="Times New Roman" w:hAnsi="Times New Roman" w:cs="Times New Roman"/>
          <w:b/>
          <w:sz w:val="28"/>
          <w:szCs w:val="28"/>
        </w:rPr>
        <w:t>Mentem</w:t>
      </w:r>
      <w:proofErr w:type="spellEnd"/>
      <w:r w:rsidRPr="00901B91">
        <w:rPr>
          <w:rFonts w:ascii="Times New Roman" w:hAnsi="Times New Roman" w:cs="Times New Roman"/>
          <w:b/>
          <w:sz w:val="28"/>
          <w:szCs w:val="28"/>
        </w:rPr>
        <w:t xml:space="preserve"> </w:t>
      </w:r>
      <w:proofErr w:type="spellStart"/>
      <w:r w:rsidRPr="00901B91">
        <w:rPr>
          <w:rFonts w:ascii="Times New Roman" w:hAnsi="Times New Roman" w:cs="Times New Roman"/>
          <w:b/>
          <w:sz w:val="28"/>
          <w:szCs w:val="28"/>
        </w:rPr>
        <w:t>Divinam</w:t>
      </w:r>
      <w:proofErr w:type="spellEnd"/>
      <w:r w:rsidRPr="00901B91">
        <w:rPr>
          <w:rFonts w:ascii="Times New Roman" w:hAnsi="Times New Roman" w:cs="Times New Roman"/>
          <w:b/>
          <w:sz w:val="28"/>
          <w:szCs w:val="28"/>
        </w:rPr>
        <w:t>: The Spiritual Anthropology of Cornelius Agrippa</w:t>
      </w:r>
    </w:p>
    <w:p w:rsidR="009B7A5B" w:rsidRPr="00C5772F" w:rsidRDefault="009B7A5B" w:rsidP="009B7A5B">
      <w:pPr>
        <w:jc w:val="center"/>
        <w:rPr>
          <w:rFonts w:ascii="Times New Roman" w:hAnsi="Times New Roman" w:cs="Times New Roman"/>
          <w:sz w:val="28"/>
          <w:szCs w:val="28"/>
        </w:rPr>
      </w:pPr>
      <w:r w:rsidRPr="00C5772F">
        <w:rPr>
          <w:rFonts w:ascii="Times New Roman" w:hAnsi="Times New Roman" w:cs="Times New Roman"/>
          <w:sz w:val="28"/>
          <w:szCs w:val="28"/>
        </w:rPr>
        <w:t>will be held on</w:t>
      </w:r>
    </w:p>
    <w:p w:rsidR="009B7A5B" w:rsidRPr="00C5772F" w:rsidRDefault="009B7A5B" w:rsidP="009B7A5B">
      <w:pPr>
        <w:jc w:val="center"/>
        <w:rPr>
          <w:rFonts w:ascii="Times New Roman" w:hAnsi="Times New Roman" w:cs="Times New Roman"/>
          <w:sz w:val="28"/>
          <w:szCs w:val="28"/>
        </w:rPr>
      </w:pPr>
      <w:r>
        <w:rPr>
          <w:rFonts w:ascii="Times New Roman" w:hAnsi="Times New Roman" w:cs="Times New Roman"/>
          <w:sz w:val="28"/>
          <w:szCs w:val="28"/>
        </w:rPr>
        <w:t>Tuesday</w:t>
      </w:r>
      <w:r w:rsidRPr="00C5772F">
        <w:rPr>
          <w:rFonts w:ascii="Times New Roman" w:hAnsi="Times New Roman" w:cs="Times New Roman"/>
          <w:sz w:val="28"/>
          <w:szCs w:val="28"/>
        </w:rPr>
        <w:t xml:space="preserve">, </w:t>
      </w:r>
      <w:r>
        <w:rPr>
          <w:rFonts w:ascii="Times New Roman" w:hAnsi="Times New Roman" w:cs="Times New Roman"/>
          <w:sz w:val="28"/>
          <w:szCs w:val="28"/>
        </w:rPr>
        <w:t>9</w:t>
      </w:r>
      <w:r w:rsidRPr="00C5772F">
        <w:rPr>
          <w:rFonts w:ascii="Times New Roman" w:hAnsi="Times New Roman" w:cs="Times New Roman"/>
          <w:sz w:val="28"/>
          <w:szCs w:val="28"/>
        </w:rPr>
        <w:t xml:space="preserve"> </w:t>
      </w:r>
      <w:r>
        <w:rPr>
          <w:rFonts w:ascii="Times New Roman" w:hAnsi="Times New Roman" w:cs="Times New Roman"/>
          <w:sz w:val="28"/>
          <w:szCs w:val="28"/>
        </w:rPr>
        <w:t>January</w:t>
      </w:r>
      <w:r w:rsidRPr="00C5772F">
        <w:rPr>
          <w:rFonts w:ascii="Times New Roman" w:hAnsi="Times New Roman" w:cs="Times New Roman"/>
          <w:sz w:val="28"/>
          <w:szCs w:val="28"/>
        </w:rPr>
        <w:t xml:space="preserve"> 201</w:t>
      </w:r>
      <w:r>
        <w:rPr>
          <w:rFonts w:ascii="Times New Roman" w:hAnsi="Times New Roman" w:cs="Times New Roman"/>
          <w:sz w:val="28"/>
          <w:szCs w:val="28"/>
        </w:rPr>
        <w:t>8</w:t>
      </w:r>
      <w:r w:rsidRPr="00C5772F">
        <w:rPr>
          <w:rFonts w:ascii="Times New Roman" w:hAnsi="Times New Roman" w:cs="Times New Roman"/>
          <w:sz w:val="28"/>
          <w:szCs w:val="28"/>
        </w:rPr>
        <w:t>, at 1</w:t>
      </w:r>
      <w:r>
        <w:rPr>
          <w:rFonts w:ascii="Times New Roman" w:hAnsi="Times New Roman" w:cs="Times New Roman"/>
          <w:sz w:val="28"/>
          <w:szCs w:val="28"/>
        </w:rPr>
        <w:t>1</w:t>
      </w:r>
      <w:r w:rsidRPr="00C5772F">
        <w:rPr>
          <w:rFonts w:ascii="Times New Roman" w:hAnsi="Times New Roman" w:cs="Times New Roman"/>
          <w:sz w:val="28"/>
          <w:szCs w:val="28"/>
        </w:rPr>
        <w:t>:</w:t>
      </w:r>
      <w:r w:rsidR="00A235EC">
        <w:rPr>
          <w:rFonts w:ascii="Times New Roman" w:hAnsi="Times New Roman" w:cs="Times New Roman"/>
          <w:sz w:val="28"/>
          <w:szCs w:val="28"/>
        </w:rPr>
        <w:t>3</w:t>
      </w:r>
      <w:bookmarkStart w:id="0" w:name="_GoBack"/>
      <w:bookmarkEnd w:id="0"/>
      <w:r w:rsidRPr="00C5772F">
        <w:rPr>
          <w:rFonts w:ascii="Times New Roman" w:hAnsi="Times New Roman" w:cs="Times New Roman"/>
          <w:sz w:val="28"/>
          <w:szCs w:val="28"/>
        </w:rPr>
        <w:t>0</w:t>
      </w:r>
    </w:p>
    <w:p w:rsidR="009B7A5B" w:rsidRPr="00C5772F" w:rsidRDefault="009B7A5B" w:rsidP="009B7A5B">
      <w:pPr>
        <w:jc w:val="center"/>
        <w:rPr>
          <w:rFonts w:ascii="Times New Roman" w:hAnsi="Times New Roman" w:cs="Times New Roman"/>
          <w:sz w:val="28"/>
          <w:szCs w:val="28"/>
        </w:rPr>
      </w:pPr>
      <w:r w:rsidRPr="00C5772F">
        <w:rPr>
          <w:rFonts w:ascii="Times New Roman" w:hAnsi="Times New Roman" w:cs="Times New Roman"/>
          <w:sz w:val="28"/>
          <w:szCs w:val="28"/>
        </w:rPr>
        <w:t xml:space="preserve">in the </w:t>
      </w:r>
    </w:p>
    <w:p w:rsidR="009B7A5B" w:rsidRPr="00C5772F" w:rsidRDefault="009B7A5B" w:rsidP="009B7A5B">
      <w:pPr>
        <w:spacing w:after="0" w:line="240" w:lineRule="auto"/>
        <w:jc w:val="center"/>
        <w:rPr>
          <w:rFonts w:ascii="Times New Roman" w:hAnsi="Times New Roman" w:cs="Times New Roman"/>
          <w:b/>
          <w:sz w:val="28"/>
          <w:szCs w:val="28"/>
        </w:rPr>
      </w:pPr>
      <w:r w:rsidRPr="00C5772F">
        <w:rPr>
          <w:rFonts w:ascii="Times New Roman" w:hAnsi="Times New Roman" w:cs="Times New Roman"/>
          <w:b/>
          <w:sz w:val="28"/>
          <w:szCs w:val="28"/>
        </w:rPr>
        <w:t>Senate Room – Monument Building</w:t>
      </w:r>
    </w:p>
    <w:p w:rsidR="009B7A5B" w:rsidRPr="00C5772F" w:rsidRDefault="009B7A5B" w:rsidP="009B7A5B">
      <w:pPr>
        <w:spacing w:after="0" w:line="240" w:lineRule="auto"/>
        <w:jc w:val="center"/>
        <w:rPr>
          <w:rFonts w:ascii="Times New Roman" w:hAnsi="Times New Roman" w:cs="Times New Roman"/>
          <w:b/>
          <w:sz w:val="28"/>
          <w:szCs w:val="28"/>
        </w:rPr>
      </w:pPr>
      <w:r w:rsidRPr="00C5772F">
        <w:rPr>
          <w:rFonts w:ascii="Times New Roman" w:hAnsi="Times New Roman" w:cs="Times New Roman"/>
          <w:b/>
          <w:sz w:val="28"/>
          <w:szCs w:val="28"/>
        </w:rPr>
        <w:t>Central European University (CEU)</w:t>
      </w:r>
    </w:p>
    <w:p w:rsidR="009B7A5B" w:rsidRPr="00C5772F" w:rsidRDefault="009B7A5B" w:rsidP="009B7A5B">
      <w:pPr>
        <w:spacing w:after="0" w:line="240" w:lineRule="auto"/>
        <w:jc w:val="center"/>
        <w:rPr>
          <w:rFonts w:ascii="Times New Roman" w:hAnsi="Times New Roman" w:cs="Times New Roman"/>
          <w:b/>
          <w:sz w:val="28"/>
          <w:szCs w:val="28"/>
        </w:rPr>
      </w:pPr>
      <w:proofErr w:type="spellStart"/>
      <w:r w:rsidRPr="00C5772F">
        <w:rPr>
          <w:rFonts w:ascii="Times New Roman" w:hAnsi="Times New Roman" w:cs="Times New Roman"/>
          <w:b/>
          <w:sz w:val="28"/>
          <w:szCs w:val="28"/>
        </w:rPr>
        <w:t>Nádor</w:t>
      </w:r>
      <w:proofErr w:type="spellEnd"/>
      <w:r w:rsidRPr="00C5772F">
        <w:rPr>
          <w:rFonts w:ascii="Times New Roman" w:hAnsi="Times New Roman" w:cs="Times New Roman"/>
          <w:b/>
          <w:sz w:val="28"/>
          <w:szCs w:val="28"/>
        </w:rPr>
        <w:t xml:space="preserve"> </w:t>
      </w:r>
      <w:proofErr w:type="spellStart"/>
      <w:r w:rsidRPr="00C5772F">
        <w:rPr>
          <w:rFonts w:ascii="Times New Roman" w:hAnsi="Times New Roman" w:cs="Times New Roman"/>
          <w:b/>
          <w:sz w:val="28"/>
          <w:szCs w:val="28"/>
        </w:rPr>
        <w:t>u.9</w:t>
      </w:r>
      <w:proofErr w:type="spellEnd"/>
      <w:r w:rsidRPr="00C5772F">
        <w:rPr>
          <w:rFonts w:ascii="Times New Roman" w:hAnsi="Times New Roman" w:cs="Times New Roman"/>
          <w:b/>
          <w:sz w:val="28"/>
          <w:szCs w:val="28"/>
        </w:rPr>
        <w:t>, Budapest</w:t>
      </w:r>
    </w:p>
    <w:p w:rsidR="009B7A5B" w:rsidRPr="00C5772F" w:rsidRDefault="009B7A5B" w:rsidP="009B7A5B">
      <w:pPr>
        <w:jc w:val="center"/>
        <w:rPr>
          <w:rFonts w:ascii="Times New Roman" w:hAnsi="Times New Roman" w:cs="Times New Roman"/>
          <w:b/>
          <w:sz w:val="28"/>
          <w:szCs w:val="28"/>
        </w:rPr>
      </w:pPr>
    </w:p>
    <w:p w:rsidR="009B7A5B" w:rsidRPr="00C5772F" w:rsidRDefault="009B7A5B" w:rsidP="003365AC">
      <w:pPr>
        <w:spacing w:after="0" w:line="360" w:lineRule="auto"/>
        <w:jc w:val="center"/>
        <w:rPr>
          <w:rFonts w:ascii="Times New Roman" w:hAnsi="Times New Roman" w:cs="Times New Roman"/>
          <w:sz w:val="28"/>
          <w:szCs w:val="28"/>
        </w:rPr>
      </w:pPr>
      <w:r w:rsidRPr="00C5772F">
        <w:rPr>
          <w:rFonts w:ascii="Times New Roman" w:hAnsi="Times New Roman" w:cs="Times New Roman"/>
          <w:sz w:val="28"/>
          <w:szCs w:val="28"/>
        </w:rPr>
        <w:t>Examination Committee</w:t>
      </w:r>
    </w:p>
    <w:p w:rsidR="009B7A5B" w:rsidRPr="00C5772F" w:rsidRDefault="009B7A5B" w:rsidP="003365AC">
      <w:pPr>
        <w:spacing w:after="0" w:line="360" w:lineRule="auto"/>
        <w:rPr>
          <w:rFonts w:ascii="Times New Roman" w:hAnsi="Times New Roman" w:cs="Times New Roman"/>
          <w:sz w:val="28"/>
          <w:szCs w:val="28"/>
        </w:rPr>
      </w:pPr>
      <w:r w:rsidRPr="00C5772F">
        <w:rPr>
          <w:rFonts w:ascii="Times New Roman" w:hAnsi="Times New Roman" w:cs="Times New Roman"/>
          <w:sz w:val="28"/>
          <w:szCs w:val="28"/>
        </w:rPr>
        <w:t>Chair</w:t>
      </w:r>
      <w:r w:rsidRPr="00C5772F">
        <w:rPr>
          <w:rFonts w:ascii="Times New Roman" w:hAnsi="Times New Roman" w:cs="Times New Roman"/>
          <w:sz w:val="28"/>
          <w:szCs w:val="28"/>
        </w:rPr>
        <w:tab/>
      </w:r>
      <w:r w:rsidRPr="00C5772F">
        <w:rPr>
          <w:rFonts w:ascii="Times New Roman" w:hAnsi="Times New Roman" w:cs="Times New Roman"/>
          <w:sz w:val="28"/>
          <w:szCs w:val="28"/>
        </w:rPr>
        <w:tab/>
      </w:r>
      <w:r w:rsidRPr="00C5772F">
        <w:rPr>
          <w:rFonts w:ascii="Times New Roman" w:hAnsi="Times New Roman" w:cs="Times New Roman"/>
          <w:sz w:val="28"/>
          <w:szCs w:val="28"/>
        </w:rPr>
        <w:tab/>
      </w:r>
      <w:r>
        <w:rPr>
          <w:rFonts w:ascii="Times New Roman" w:hAnsi="Times New Roman" w:cs="Times New Roman"/>
          <w:sz w:val="28"/>
          <w:szCs w:val="28"/>
        </w:rPr>
        <w:t>Matthias Riedl</w:t>
      </w:r>
      <w:r w:rsidRPr="00C5772F">
        <w:rPr>
          <w:rFonts w:ascii="Times New Roman" w:hAnsi="Times New Roman" w:cs="Times New Roman"/>
          <w:sz w:val="28"/>
          <w:szCs w:val="28"/>
        </w:rPr>
        <w:t xml:space="preserve"> (Department of </w:t>
      </w:r>
      <w:r>
        <w:rPr>
          <w:rFonts w:ascii="Times New Roman" w:hAnsi="Times New Roman" w:cs="Times New Roman"/>
          <w:sz w:val="28"/>
          <w:szCs w:val="28"/>
        </w:rPr>
        <w:t>History</w:t>
      </w:r>
      <w:r w:rsidRPr="00C5772F">
        <w:rPr>
          <w:rFonts w:ascii="Times New Roman" w:hAnsi="Times New Roman" w:cs="Times New Roman"/>
          <w:sz w:val="28"/>
          <w:szCs w:val="28"/>
        </w:rPr>
        <w:t xml:space="preserve"> – CEU)</w:t>
      </w:r>
    </w:p>
    <w:p w:rsidR="009B7A5B" w:rsidRPr="00C5772F" w:rsidRDefault="009B7A5B" w:rsidP="003365AC">
      <w:pPr>
        <w:spacing w:after="0" w:line="360" w:lineRule="auto"/>
        <w:ind w:left="2124" w:hanging="2124"/>
        <w:rPr>
          <w:rFonts w:ascii="Times New Roman" w:hAnsi="Times New Roman" w:cs="Times New Roman"/>
          <w:sz w:val="28"/>
          <w:szCs w:val="28"/>
        </w:rPr>
      </w:pPr>
      <w:r w:rsidRPr="00C5772F">
        <w:rPr>
          <w:rFonts w:ascii="Times New Roman" w:hAnsi="Times New Roman" w:cs="Times New Roman"/>
          <w:sz w:val="28"/>
          <w:szCs w:val="28"/>
        </w:rPr>
        <w:t>Members</w:t>
      </w:r>
      <w:r w:rsidRPr="00C5772F">
        <w:rPr>
          <w:rFonts w:ascii="Times New Roman" w:hAnsi="Times New Roman" w:cs="Times New Roman"/>
          <w:sz w:val="28"/>
          <w:szCs w:val="28"/>
        </w:rPr>
        <w:tab/>
      </w:r>
      <w:proofErr w:type="spellStart"/>
      <w:r>
        <w:rPr>
          <w:rFonts w:ascii="Times New Roman" w:hAnsi="Times New Roman" w:cs="Times New Roman"/>
          <w:sz w:val="28"/>
          <w:szCs w:val="28"/>
        </w:rPr>
        <w:t>Gy</w:t>
      </w:r>
      <w:r>
        <w:rPr>
          <w:rFonts w:ascii="Times New Roman" w:hAnsi="Times New Roman" w:cs="Times New Roman"/>
          <w:sz w:val="28"/>
          <w:szCs w:val="28"/>
          <w:lang w:val="hu-HU"/>
        </w:rPr>
        <w:t>örgy</w:t>
      </w:r>
      <w:proofErr w:type="spellEnd"/>
      <w:r>
        <w:rPr>
          <w:rFonts w:ascii="Times New Roman" w:hAnsi="Times New Roman" w:cs="Times New Roman"/>
          <w:sz w:val="28"/>
          <w:szCs w:val="28"/>
          <w:lang w:val="hu-HU"/>
        </w:rPr>
        <w:t xml:space="preserve"> Endre Szőnyi</w:t>
      </w:r>
      <w:r w:rsidRPr="00C5772F">
        <w:rPr>
          <w:rFonts w:ascii="Times New Roman" w:hAnsi="Times New Roman" w:cs="Times New Roman"/>
          <w:sz w:val="28"/>
          <w:szCs w:val="28"/>
        </w:rPr>
        <w:t xml:space="preserve"> (</w:t>
      </w:r>
      <w:r>
        <w:rPr>
          <w:rFonts w:ascii="Times New Roman" w:hAnsi="Times New Roman" w:cs="Times New Roman"/>
          <w:sz w:val="28"/>
          <w:szCs w:val="28"/>
        </w:rPr>
        <w:t>Medieval Studies Department – CEU</w:t>
      </w:r>
      <w:r w:rsidRPr="00C5772F">
        <w:rPr>
          <w:rFonts w:ascii="Times New Roman" w:hAnsi="Times New Roman" w:cs="Times New Roman"/>
          <w:sz w:val="28"/>
          <w:szCs w:val="28"/>
        </w:rPr>
        <w:t>)</w:t>
      </w:r>
      <w:r>
        <w:rPr>
          <w:rFonts w:ascii="Times New Roman" w:hAnsi="Times New Roman" w:cs="Times New Roman"/>
          <w:sz w:val="28"/>
          <w:szCs w:val="28"/>
        </w:rPr>
        <w:t>,</w:t>
      </w:r>
      <w:r w:rsidRPr="00901B91">
        <w:rPr>
          <w:rFonts w:ascii="Times New Roman" w:hAnsi="Times New Roman" w:cs="Times New Roman"/>
          <w:sz w:val="28"/>
          <w:szCs w:val="28"/>
        </w:rPr>
        <w:t xml:space="preserve"> </w:t>
      </w:r>
      <w:r w:rsidR="00C103C2">
        <w:rPr>
          <w:rFonts w:ascii="Times New Roman" w:hAnsi="Times New Roman" w:cs="Times New Roman"/>
          <w:sz w:val="28"/>
          <w:szCs w:val="28"/>
        </w:rPr>
        <w:t xml:space="preserve">primary </w:t>
      </w:r>
      <w:r w:rsidRPr="00C5772F">
        <w:rPr>
          <w:rFonts w:ascii="Times New Roman" w:hAnsi="Times New Roman" w:cs="Times New Roman"/>
          <w:sz w:val="28"/>
          <w:szCs w:val="28"/>
        </w:rPr>
        <w:t>supervisor</w:t>
      </w:r>
    </w:p>
    <w:p w:rsidR="009B7A5B" w:rsidRPr="00C5772F" w:rsidRDefault="009B7A5B" w:rsidP="00C103C2">
      <w:pPr>
        <w:spacing w:after="0" w:line="360" w:lineRule="auto"/>
        <w:ind w:left="2124" w:firstLine="36"/>
        <w:rPr>
          <w:rFonts w:ascii="Times New Roman" w:hAnsi="Times New Roman" w:cs="Times New Roman"/>
          <w:sz w:val="28"/>
          <w:szCs w:val="28"/>
        </w:rPr>
      </w:pPr>
      <w:r>
        <w:rPr>
          <w:rFonts w:ascii="Times New Roman" w:hAnsi="Times New Roman" w:cs="Times New Roman"/>
          <w:sz w:val="28"/>
          <w:szCs w:val="28"/>
        </w:rPr>
        <w:t xml:space="preserve">György </w:t>
      </w:r>
      <w:proofErr w:type="spellStart"/>
      <w:r>
        <w:rPr>
          <w:rFonts w:ascii="Times New Roman" w:hAnsi="Times New Roman" w:cs="Times New Roman"/>
          <w:sz w:val="28"/>
          <w:szCs w:val="28"/>
        </w:rPr>
        <w:t>Geréby</w:t>
      </w:r>
      <w:proofErr w:type="spellEnd"/>
      <w:r w:rsidRPr="00C5772F">
        <w:rPr>
          <w:rFonts w:ascii="Times New Roman" w:hAnsi="Times New Roman" w:cs="Times New Roman"/>
          <w:sz w:val="28"/>
          <w:szCs w:val="28"/>
        </w:rPr>
        <w:t xml:space="preserve"> (Department of Medieval Studies – CEU)</w:t>
      </w:r>
      <w:r w:rsidR="00C103C2">
        <w:rPr>
          <w:rFonts w:ascii="Times New Roman" w:hAnsi="Times New Roman" w:cs="Times New Roman"/>
          <w:sz w:val="28"/>
          <w:szCs w:val="28"/>
        </w:rPr>
        <w:t>, associate supervisor</w:t>
      </w:r>
    </w:p>
    <w:p w:rsidR="009B7A5B" w:rsidRPr="00C5772F" w:rsidRDefault="009B7A5B" w:rsidP="003365AC">
      <w:pPr>
        <w:spacing w:after="0" w:line="360" w:lineRule="auto"/>
        <w:ind w:left="2124"/>
        <w:rPr>
          <w:rFonts w:ascii="Times New Roman" w:hAnsi="Times New Roman" w:cs="Times New Roman"/>
          <w:sz w:val="28"/>
          <w:szCs w:val="28"/>
        </w:rPr>
      </w:pPr>
      <w:r w:rsidRPr="00C5772F">
        <w:rPr>
          <w:rFonts w:ascii="Times New Roman" w:hAnsi="Times New Roman" w:cs="Times New Roman"/>
          <w:sz w:val="28"/>
          <w:szCs w:val="28"/>
        </w:rPr>
        <w:t xml:space="preserve">Gábor Klaniczay (Department of Medieval Studies – CEU), </w:t>
      </w:r>
    </w:p>
    <w:p w:rsidR="009B7A5B" w:rsidRPr="00C5772F" w:rsidRDefault="009B7A5B" w:rsidP="003365AC">
      <w:pPr>
        <w:spacing w:after="0" w:line="360" w:lineRule="auto"/>
        <w:rPr>
          <w:rFonts w:ascii="Times New Roman" w:hAnsi="Times New Roman" w:cs="Times New Roman"/>
          <w:sz w:val="28"/>
          <w:szCs w:val="28"/>
        </w:rPr>
      </w:pPr>
      <w:r w:rsidRPr="00C5772F">
        <w:rPr>
          <w:rFonts w:ascii="Times New Roman" w:hAnsi="Times New Roman" w:cs="Times New Roman"/>
          <w:sz w:val="28"/>
          <w:szCs w:val="28"/>
        </w:rPr>
        <w:tab/>
      </w:r>
      <w:r w:rsidRPr="00C5772F">
        <w:rPr>
          <w:rFonts w:ascii="Times New Roman" w:hAnsi="Times New Roman" w:cs="Times New Roman"/>
          <w:sz w:val="28"/>
          <w:szCs w:val="28"/>
        </w:rPr>
        <w:tab/>
      </w:r>
      <w:r w:rsidRPr="00C5772F">
        <w:rPr>
          <w:rFonts w:ascii="Times New Roman" w:hAnsi="Times New Roman" w:cs="Times New Roman"/>
          <w:sz w:val="28"/>
          <w:szCs w:val="28"/>
        </w:rPr>
        <w:tab/>
      </w:r>
      <w:r>
        <w:rPr>
          <w:rFonts w:ascii="Times New Roman" w:hAnsi="Times New Roman" w:cs="Times New Roman"/>
          <w:sz w:val="28"/>
          <w:szCs w:val="28"/>
        </w:rPr>
        <w:t xml:space="preserve">Benedek </w:t>
      </w:r>
      <w:proofErr w:type="spellStart"/>
      <w:r>
        <w:rPr>
          <w:rFonts w:ascii="Times New Roman" w:hAnsi="Times New Roman" w:cs="Times New Roman"/>
          <w:sz w:val="28"/>
          <w:szCs w:val="28"/>
        </w:rPr>
        <w:t>Láng</w:t>
      </w:r>
      <w:proofErr w:type="spellEnd"/>
      <w:r w:rsidRPr="00C5772F">
        <w:rPr>
          <w:rFonts w:ascii="Times New Roman" w:hAnsi="Times New Roman" w:cs="Times New Roman"/>
          <w:sz w:val="28"/>
          <w:szCs w:val="28"/>
        </w:rPr>
        <w:t xml:space="preserve"> (</w:t>
      </w:r>
      <w:r>
        <w:rPr>
          <w:rFonts w:ascii="Times New Roman" w:hAnsi="Times New Roman" w:cs="Times New Roman"/>
          <w:sz w:val="28"/>
          <w:szCs w:val="28"/>
        </w:rPr>
        <w:t>Budapest Technical University</w:t>
      </w:r>
      <w:r w:rsidRPr="00C5772F">
        <w:rPr>
          <w:rFonts w:ascii="Times New Roman" w:hAnsi="Times New Roman" w:cs="Times New Roman"/>
          <w:sz w:val="28"/>
          <w:szCs w:val="28"/>
        </w:rPr>
        <w:t>)</w:t>
      </w:r>
    </w:p>
    <w:p w:rsidR="009B7A5B" w:rsidRPr="00C5772F" w:rsidRDefault="009B7A5B" w:rsidP="003365AC">
      <w:pPr>
        <w:spacing w:after="0" w:line="360" w:lineRule="auto"/>
        <w:ind w:left="2124"/>
        <w:rPr>
          <w:rFonts w:ascii="Times New Roman" w:hAnsi="Times New Roman" w:cs="Times New Roman"/>
          <w:sz w:val="28"/>
          <w:szCs w:val="28"/>
        </w:rPr>
      </w:pPr>
      <w:r w:rsidRPr="00901B91">
        <w:rPr>
          <w:rFonts w:ascii="Times New Roman" w:hAnsi="Times New Roman" w:cs="Times New Roman"/>
          <w:sz w:val="28"/>
          <w:szCs w:val="28"/>
        </w:rPr>
        <w:t>Christopher Ian Lehrich</w:t>
      </w:r>
      <w:r w:rsidRPr="00C5772F">
        <w:rPr>
          <w:rFonts w:ascii="Times New Roman" w:hAnsi="Times New Roman" w:cs="Times New Roman"/>
          <w:sz w:val="28"/>
          <w:szCs w:val="28"/>
        </w:rPr>
        <w:t xml:space="preserve"> (</w:t>
      </w:r>
      <w:r>
        <w:rPr>
          <w:rFonts w:ascii="Times New Roman" w:hAnsi="Times New Roman" w:cs="Times New Roman"/>
          <w:sz w:val="28"/>
          <w:szCs w:val="28"/>
        </w:rPr>
        <w:t>University of Boston</w:t>
      </w:r>
      <w:r w:rsidRPr="00C5772F">
        <w:rPr>
          <w:rFonts w:ascii="Times New Roman" w:hAnsi="Times New Roman" w:cs="Times New Roman"/>
          <w:sz w:val="28"/>
          <w:szCs w:val="28"/>
        </w:rPr>
        <w:t>) </w:t>
      </w:r>
    </w:p>
    <w:p w:rsidR="009B7A5B" w:rsidRDefault="009B7A5B" w:rsidP="009B7A5B">
      <w:pPr>
        <w:spacing w:after="0" w:line="240" w:lineRule="auto"/>
        <w:rPr>
          <w:rFonts w:ascii="Times New Roman" w:hAnsi="Times New Roman" w:cs="Times New Roman"/>
          <w:sz w:val="28"/>
          <w:szCs w:val="28"/>
        </w:rPr>
      </w:pPr>
    </w:p>
    <w:p w:rsidR="009B7A5B" w:rsidRPr="00C5772F" w:rsidRDefault="009B7A5B" w:rsidP="009B7A5B">
      <w:pPr>
        <w:rPr>
          <w:rFonts w:ascii="Times New Roman" w:hAnsi="Times New Roman" w:cs="Times New Roman"/>
          <w:sz w:val="28"/>
          <w:szCs w:val="28"/>
        </w:rPr>
      </w:pPr>
    </w:p>
    <w:p w:rsidR="009B7A5B" w:rsidRPr="00C5772F" w:rsidRDefault="009B7A5B" w:rsidP="009B7A5B">
      <w:pPr>
        <w:spacing w:after="0"/>
        <w:jc w:val="center"/>
        <w:rPr>
          <w:rFonts w:ascii="Times New Roman" w:hAnsi="Times New Roman" w:cs="Times New Roman"/>
          <w:sz w:val="28"/>
          <w:szCs w:val="28"/>
        </w:rPr>
      </w:pPr>
      <w:r w:rsidRPr="00C5772F">
        <w:rPr>
          <w:rFonts w:ascii="Times New Roman" w:hAnsi="Times New Roman" w:cs="Times New Roman"/>
          <w:sz w:val="28"/>
          <w:szCs w:val="28"/>
        </w:rPr>
        <w:t>The doctoral dissertation is available for inspection on the CEU e-learning site.</w:t>
      </w:r>
    </w:p>
    <w:p w:rsidR="009B7A5B" w:rsidRPr="00C5772F" w:rsidRDefault="009B7A5B" w:rsidP="009B7A5B">
      <w:pPr>
        <w:spacing w:after="0"/>
        <w:jc w:val="center"/>
        <w:rPr>
          <w:rFonts w:ascii="Times New Roman" w:hAnsi="Times New Roman" w:cs="Times New Roman"/>
          <w:sz w:val="28"/>
          <w:szCs w:val="28"/>
        </w:rPr>
      </w:pPr>
      <w:r w:rsidRPr="00C5772F">
        <w:rPr>
          <w:rFonts w:ascii="Times New Roman" w:hAnsi="Times New Roman" w:cs="Times New Roman"/>
          <w:sz w:val="28"/>
          <w:szCs w:val="28"/>
        </w:rPr>
        <w:t>Should you wish to access it contact Csilla Dobos (</w:t>
      </w:r>
      <w:proofErr w:type="spellStart"/>
      <w:r w:rsidR="003365AC">
        <w:fldChar w:fldCharType="begin"/>
      </w:r>
      <w:r w:rsidR="003365AC">
        <w:instrText xml:space="preserve"> HYPERLINK "mailto:dobos@ceu.edu" </w:instrText>
      </w:r>
      <w:r w:rsidR="003365AC">
        <w:fldChar w:fldCharType="separate"/>
      </w:r>
      <w:r w:rsidRPr="00C5772F">
        <w:rPr>
          <w:rStyle w:val="Hyperlink"/>
          <w:rFonts w:ascii="Times New Roman" w:hAnsi="Times New Roman"/>
          <w:sz w:val="28"/>
          <w:szCs w:val="28"/>
        </w:rPr>
        <w:t>dobos@ceu.edu</w:t>
      </w:r>
      <w:proofErr w:type="spellEnd"/>
      <w:r w:rsidR="003365AC">
        <w:rPr>
          <w:rStyle w:val="Hyperlink"/>
          <w:rFonts w:ascii="Times New Roman" w:hAnsi="Times New Roman"/>
          <w:sz w:val="28"/>
          <w:szCs w:val="28"/>
        </w:rPr>
        <w:fldChar w:fldCharType="end"/>
      </w:r>
      <w:r w:rsidRPr="00C5772F">
        <w:rPr>
          <w:rFonts w:ascii="Times New Roman" w:hAnsi="Times New Roman" w:cs="Times New Roman"/>
          <w:sz w:val="28"/>
          <w:szCs w:val="28"/>
        </w:rPr>
        <w:t>)</w:t>
      </w:r>
    </w:p>
    <w:p w:rsidR="003365AC" w:rsidRDefault="003365AC">
      <w:pPr>
        <w:suppressAutoHyphens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br w:type="page"/>
      </w:r>
    </w:p>
    <w:p w:rsidR="006C49C5" w:rsidRDefault="006C49C5">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360" w:lineRule="auto"/>
        <w:jc w:val="center"/>
        <w:rPr>
          <w:rFonts w:ascii="Times New Roman" w:hAnsi="Times New Roman" w:cs="Times New Roman"/>
          <w:b/>
          <w:bCs/>
          <w:sz w:val="29"/>
          <w:szCs w:val="29"/>
        </w:rPr>
      </w:pPr>
    </w:p>
    <w:p w:rsidR="00630D5E" w:rsidRDefault="00630D5E">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360" w:lineRule="auto"/>
        <w:jc w:val="center"/>
      </w:pPr>
      <w:r>
        <w:rPr>
          <w:rFonts w:ascii="Times New Roman" w:hAnsi="Times New Roman" w:cs="Times New Roman"/>
          <w:b/>
          <w:bCs/>
          <w:sz w:val="29"/>
          <w:szCs w:val="29"/>
        </w:rPr>
        <w:t>Summary of the Doctoral Dissertation</w:t>
      </w:r>
    </w:p>
    <w:p w:rsidR="006C49C5" w:rsidRPr="006C49C5" w:rsidRDefault="006C49C5" w:rsidP="008A621B">
      <w:pPr>
        <w:spacing w:after="120"/>
        <w:jc w:val="both"/>
        <w:rPr>
          <w:rFonts w:ascii="Times New Roman" w:hAnsi="Times New Roman" w:cs="Times New Roman"/>
          <w:sz w:val="28"/>
          <w:szCs w:val="28"/>
        </w:rPr>
      </w:pPr>
      <w:r w:rsidRPr="006C49C5">
        <w:rPr>
          <w:rFonts w:ascii="Times New Roman" w:hAnsi="Times New Roman" w:cs="Times New Roman"/>
          <w:sz w:val="28"/>
          <w:szCs w:val="28"/>
        </w:rPr>
        <w:t xml:space="preserve">My dissertation is a study of the </w:t>
      </w:r>
      <w:r w:rsidR="00912232">
        <w:rPr>
          <w:rFonts w:ascii="Times New Roman" w:hAnsi="Times New Roman" w:cs="Times New Roman"/>
          <w:sz w:val="28"/>
          <w:szCs w:val="28"/>
        </w:rPr>
        <w:t xml:space="preserve">literary </w:t>
      </w:r>
      <w:r w:rsidRPr="006C49C5">
        <w:rPr>
          <w:rFonts w:ascii="Times New Roman" w:hAnsi="Times New Roman" w:cs="Times New Roman"/>
          <w:sz w:val="28"/>
          <w:szCs w:val="28"/>
        </w:rPr>
        <w:t xml:space="preserve">work and thought of Heinrich Cornelius Agrippa von </w:t>
      </w:r>
      <w:proofErr w:type="spellStart"/>
      <w:r w:rsidRPr="006C49C5">
        <w:rPr>
          <w:rFonts w:ascii="Times New Roman" w:hAnsi="Times New Roman" w:cs="Times New Roman"/>
          <w:sz w:val="28"/>
          <w:szCs w:val="28"/>
        </w:rPr>
        <w:t>Nettesheim</w:t>
      </w:r>
      <w:proofErr w:type="spellEnd"/>
      <w:r w:rsidRPr="006C49C5">
        <w:rPr>
          <w:rFonts w:ascii="Times New Roman" w:hAnsi="Times New Roman" w:cs="Times New Roman"/>
          <w:sz w:val="28"/>
          <w:szCs w:val="28"/>
        </w:rPr>
        <w:t xml:space="preserve"> (1486–1535), a German humanist most famous for his reputation as a magician. Along with </w:t>
      </w:r>
      <w:proofErr w:type="spellStart"/>
      <w:r w:rsidRPr="006C49C5">
        <w:rPr>
          <w:rFonts w:ascii="Times New Roman" w:hAnsi="Times New Roman" w:cs="Times New Roman"/>
          <w:sz w:val="28"/>
          <w:szCs w:val="28"/>
        </w:rPr>
        <w:t>Marsilio</w:t>
      </w:r>
      <w:proofErr w:type="spellEnd"/>
      <w:r w:rsidRPr="006C49C5">
        <w:rPr>
          <w:rFonts w:ascii="Times New Roman" w:hAnsi="Times New Roman" w:cs="Times New Roman"/>
          <w:sz w:val="28"/>
          <w:szCs w:val="28"/>
        </w:rPr>
        <w:t xml:space="preserve"> Ficino, Pico </w:t>
      </w:r>
      <w:proofErr w:type="spellStart"/>
      <w:r w:rsidRPr="006C49C5">
        <w:rPr>
          <w:rFonts w:ascii="Times New Roman" w:hAnsi="Times New Roman" w:cs="Times New Roman"/>
          <w:sz w:val="28"/>
          <w:szCs w:val="28"/>
        </w:rPr>
        <w:t>della</w:t>
      </w:r>
      <w:proofErr w:type="spellEnd"/>
      <w:r w:rsidRPr="006C49C5">
        <w:rPr>
          <w:rFonts w:ascii="Times New Roman" w:hAnsi="Times New Roman" w:cs="Times New Roman"/>
          <w:sz w:val="28"/>
          <w:szCs w:val="28"/>
        </w:rPr>
        <w:t xml:space="preserve"> </w:t>
      </w:r>
      <w:proofErr w:type="spellStart"/>
      <w:r w:rsidRPr="006C49C5">
        <w:rPr>
          <w:rFonts w:ascii="Times New Roman" w:hAnsi="Times New Roman" w:cs="Times New Roman"/>
          <w:sz w:val="28"/>
          <w:szCs w:val="28"/>
        </w:rPr>
        <w:t>Mirandola</w:t>
      </w:r>
      <w:proofErr w:type="spellEnd"/>
      <w:r w:rsidRPr="006C49C5">
        <w:rPr>
          <w:rFonts w:ascii="Times New Roman" w:hAnsi="Times New Roman" w:cs="Times New Roman"/>
          <w:sz w:val="28"/>
          <w:szCs w:val="28"/>
        </w:rPr>
        <w:t xml:space="preserve">, Lodovico </w:t>
      </w:r>
      <w:proofErr w:type="spellStart"/>
      <w:r w:rsidRPr="006C49C5">
        <w:rPr>
          <w:rFonts w:ascii="Times New Roman" w:hAnsi="Times New Roman" w:cs="Times New Roman"/>
          <w:sz w:val="28"/>
          <w:szCs w:val="28"/>
        </w:rPr>
        <w:t>Lazzarelli</w:t>
      </w:r>
      <w:proofErr w:type="spellEnd"/>
      <w:r w:rsidRPr="006C49C5">
        <w:rPr>
          <w:rFonts w:ascii="Times New Roman" w:hAnsi="Times New Roman" w:cs="Times New Roman"/>
          <w:sz w:val="28"/>
          <w:szCs w:val="28"/>
        </w:rPr>
        <w:t xml:space="preserve"> and many others, Agrippa belonged to the type of humanists who sought to reform or “enrich” Christianity by introducing elements from various heterodox </w:t>
      </w:r>
      <w:r>
        <w:rPr>
          <w:rFonts w:ascii="Times New Roman" w:hAnsi="Times New Roman" w:cs="Times New Roman"/>
          <w:sz w:val="28"/>
          <w:szCs w:val="28"/>
        </w:rPr>
        <w:t xml:space="preserve">philosophical and spiritual </w:t>
      </w:r>
      <w:r w:rsidRPr="006C49C5">
        <w:rPr>
          <w:rFonts w:ascii="Times New Roman" w:hAnsi="Times New Roman" w:cs="Times New Roman"/>
          <w:sz w:val="28"/>
          <w:szCs w:val="28"/>
        </w:rPr>
        <w:t>traditions</w:t>
      </w:r>
      <w:r>
        <w:rPr>
          <w:rFonts w:ascii="Times New Roman" w:hAnsi="Times New Roman" w:cs="Times New Roman"/>
          <w:sz w:val="28"/>
          <w:szCs w:val="28"/>
        </w:rPr>
        <w:t xml:space="preserve">. </w:t>
      </w:r>
      <w:r w:rsidRPr="006C49C5">
        <w:rPr>
          <w:rFonts w:ascii="Times New Roman" w:hAnsi="Times New Roman" w:cs="Times New Roman"/>
          <w:sz w:val="28"/>
          <w:szCs w:val="28"/>
        </w:rPr>
        <w:t xml:space="preserve">Agrippa himself was most fervently dedicated to the study of magic, in which he </w:t>
      </w:r>
      <w:r>
        <w:rPr>
          <w:rFonts w:ascii="Times New Roman" w:hAnsi="Times New Roman" w:cs="Times New Roman"/>
          <w:sz w:val="28"/>
          <w:szCs w:val="28"/>
        </w:rPr>
        <w:t>recognized</w:t>
      </w:r>
      <w:r w:rsidRPr="006C49C5">
        <w:rPr>
          <w:rFonts w:ascii="Times New Roman" w:hAnsi="Times New Roman" w:cs="Times New Roman"/>
          <w:sz w:val="28"/>
          <w:szCs w:val="28"/>
        </w:rPr>
        <w:t xml:space="preserve"> an ancient wisdom tradition compatible with the genuine spirit of Christian teachings.</w:t>
      </w:r>
      <w:r w:rsidR="0060124C">
        <w:rPr>
          <w:rFonts w:ascii="Times New Roman" w:hAnsi="Times New Roman" w:cs="Times New Roman"/>
          <w:sz w:val="28"/>
          <w:szCs w:val="28"/>
        </w:rPr>
        <w:t xml:space="preserve"> The result of his</w:t>
      </w:r>
      <w:r>
        <w:rPr>
          <w:rFonts w:ascii="Times New Roman" w:hAnsi="Times New Roman" w:cs="Times New Roman"/>
          <w:sz w:val="28"/>
          <w:szCs w:val="28"/>
        </w:rPr>
        <w:t xml:space="preserve"> lifelong studies was his well-known</w:t>
      </w:r>
      <w:r w:rsidRPr="006C49C5">
        <w:rPr>
          <w:rFonts w:ascii="Times New Roman" w:hAnsi="Times New Roman" w:cs="Times New Roman"/>
          <w:sz w:val="28"/>
          <w:szCs w:val="28"/>
        </w:rPr>
        <w:t xml:space="preserve"> encyclopedia of magic, </w:t>
      </w:r>
      <w:r w:rsidRPr="006C49C5">
        <w:rPr>
          <w:rFonts w:ascii="Times New Roman" w:hAnsi="Times New Roman" w:cs="Times New Roman"/>
          <w:i/>
          <w:sz w:val="28"/>
          <w:szCs w:val="28"/>
        </w:rPr>
        <w:t xml:space="preserve">De occulta </w:t>
      </w:r>
      <w:proofErr w:type="spellStart"/>
      <w:r w:rsidRPr="006C49C5">
        <w:rPr>
          <w:rFonts w:ascii="Times New Roman" w:hAnsi="Times New Roman" w:cs="Times New Roman"/>
          <w:i/>
          <w:sz w:val="28"/>
          <w:szCs w:val="28"/>
        </w:rPr>
        <w:t>philosophia</w:t>
      </w:r>
      <w:proofErr w:type="spellEnd"/>
      <w:r w:rsidRPr="006C49C5">
        <w:rPr>
          <w:rFonts w:ascii="Times New Roman" w:hAnsi="Times New Roman" w:cs="Times New Roman"/>
          <w:i/>
          <w:sz w:val="28"/>
          <w:szCs w:val="28"/>
        </w:rPr>
        <w:t xml:space="preserve"> </w:t>
      </w:r>
      <w:proofErr w:type="spellStart"/>
      <w:r w:rsidRPr="006C49C5">
        <w:rPr>
          <w:rFonts w:ascii="Times New Roman" w:hAnsi="Times New Roman" w:cs="Times New Roman"/>
          <w:i/>
          <w:sz w:val="28"/>
          <w:szCs w:val="28"/>
        </w:rPr>
        <w:t>libri</w:t>
      </w:r>
      <w:proofErr w:type="spellEnd"/>
      <w:r w:rsidRPr="006C49C5">
        <w:rPr>
          <w:rFonts w:ascii="Times New Roman" w:hAnsi="Times New Roman" w:cs="Times New Roman"/>
          <w:i/>
          <w:sz w:val="28"/>
          <w:szCs w:val="28"/>
        </w:rPr>
        <w:t xml:space="preserve"> </w:t>
      </w:r>
      <w:proofErr w:type="spellStart"/>
      <w:r w:rsidRPr="006C49C5">
        <w:rPr>
          <w:rFonts w:ascii="Times New Roman" w:hAnsi="Times New Roman" w:cs="Times New Roman"/>
          <w:i/>
          <w:sz w:val="28"/>
          <w:szCs w:val="28"/>
        </w:rPr>
        <w:t>tres</w:t>
      </w:r>
      <w:proofErr w:type="spellEnd"/>
      <w:r w:rsidRPr="006C49C5">
        <w:rPr>
          <w:rFonts w:ascii="Times New Roman" w:hAnsi="Times New Roman" w:cs="Times New Roman"/>
          <w:i/>
          <w:sz w:val="28"/>
          <w:szCs w:val="28"/>
        </w:rPr>
        <w:t xml:space="preserve"> </w:t>
      </w:r>
      <w:r w:rsidRPr="006C49C5">
        <w:rPr>
          <w:rFonts w:ascii="Times New Roman" w:hAnsi="Times New Roman" w:cs="Times New Roman"/>
          <w:sz w:val="28"/>
          <w:szCs w:val="28"/>
        </w:rPr>
        <w:t xml:space="preserve">(Three books of occult philosophy), in which he presented and discussed practically all the forms of occult knowledge known in his time. </w:t>
      </w:r>
    </w:p>
    <w:p w:rsidR="006C49C5" w:rsidRPr="00023587" w:rsidRDefault="006C49C5" w:rsidP="008A621B">
      <w:pPr>
        <w:spacing w:after="120"/>
        <w:ind w:firstLine="720"/>
        <w:jc w:val="both"/>
        <w:rPr>
          <w:rFonts w:ascii="Times New Roman" w:hAnsi="Times New Roman" w:cs="Times New Roman"/>
          <w:sz w:val="28"/>
          <w:szCs w:val="28"/>
        </w:rPr>
      </w:pPr>
      <w:r w:rsidRPr="00023587">
        <w:rPr>
          <w:rFonts w:ascii="Times New Roman" w:hAnsi="Times New Roman" w:cs="Times New Roman"/>
          <w:sz w:val="28"/>
          <w:szCs w:val="28"/>
        </w:rPr>
        <w:t xml:space="preserve">On the other hand, Agrippa was actively engaged in the religious controversies and theological debates of his time, taking sides with Biblical humanists such as Erasmus and closely following the emergence of </w:t>
      </w:r>
      <w:r w:rsidR="00023587">
        <w:rPr>
          <w:rFonts w:ascii="Times New Roman" w:hAnsi="Times New Roman" w:cs="Times New Roman"/>
          <w:sz w:val="28"/>
          <w:szCs w:val="28"/>
        </w:rPr>
        <w:t>Martin Luther’s movement and other Reformation groups</w:t>
      </w:r>
      <w:r w:rsidRPr="00023587">
        <w:rPr>
          <w:rFonts w:ascii="Times New Roman" w:hAnsi="Times New Roman" w:cs="Times New Roman"/>
          <w:sz w:val="28"/>
          <w:szCs w:val="28"/>
        </w:rPr>
        <w:t>. This other major field of his interest resulted in the production of non-magical works either of skeptical-devotional character, such as</w:t>
      </w:r>
      <w:r w:rsidR="00912232">
        <w:rPr>
          <w:rFonts w:ascii="Times New Roman" w:hAnsi="Times New Roman" w:cs="Times New Roman"/>
          <w:sz w:val="28"/>
          <w:szCs w:val="28"/>
        </w:rPr>
        <w:t xml:space="preserve"> his famous</w:t>
      </w:r>
      <w:r w:rsidR="00023587">
        <w:rPr>
          <w:rFonts w:ascii="Times New Roman" w:hAnsi="Times New Roman" w:cs="Times New Roman"/>
          <w:sz w:val="28"/>
          <w:szCs w:val="28"/>
        </w:rPr>
        <w:t xml:space="preserve"> declamation</w:t>
      </w:r>
      <w:r w:rsidRPr="00023587">
        <w:rPr>
          <w:rFonts w:ascii="Times New Roman" w:hAnsi="Times New Roman" w:cs="Times New Roman"/>
          <w:sz w:val="28"/>
          <w:szCs w:val="28"/>
        </w:rPr>
        <w:t xml:space="preserve"> </w:t>
      </w:r>
      <w:r w:rsidRPr="00023587">
        <w:rPr>
          <w:rFonts w:ascii="Times New Roman" w:hAnsi="Times New Roman" w:cs="Times New Roman"/>
          <w:i/>
          <w:sz w:val="28"/>
          <w:szCs w:val="28"/>
        </w:rPr>
        <w:t xml:space="preserve">De </w:t>
      </w:r>
      <w:proofErr w:type="spellStart"/>
      <w:r w:rsidRPr="00023587">
        <w:rPr>
          <w:rFonts w:ascii="Times New Roman" w:hAnsi="Times New Roman" w:cs="Times New Roman"/>
          <w:i/>
          <w:sz w:val="28"/>
          <w:szCs w:val="28"/>
        </w:rPr>
        <w:t>incertitudine</w:t>
      </w:r>
      <w:proofErr w:type="spellEnd"/>
      <w:r w:rsidRPr="00023587">
        <w:rPr>
          <w:rFonts w:ascii="Times New Roman" w:hAnsi="Times New Roman" w:cs="Times New Roman"/>
          <w:i/>
          <w:sz w:val="28"/>
          <w:szCs w:val="28"/>
        </w:rPr>
        <w:t xml:space="preserve"> et </w:t>
      </w:r>
      <w:proofErr w:type="spellStart"/>
      <w:r w:rsidRPr="00023587">
        <w:rPr>
          <w:rFonts w:ascii="Times New Roman" w:hAnsi="Times New Roman" w:cs="Times New Roman"/>
          <w:i/>
          <w:sz w:val="28"/>
          <w:szCs w:val="28"/>
        </w:rPr>
        <w:t>vanitate</w:t>
      </w:r>
      <w:proofErr w:type="spellEnd"/>
      <w:r w:rsidRPr="00023587">
        <w:rPr>
          <w:rFonts w:ascii="Times New Roman" w:hAnsi="Times New Roman" w:cs="Times New Roman"/>
          <w:i/>
          <w:sz w:val="28"/>
          <w:szCs w:val="28"/>
        </w:rPr>
        <w:t xml:space="preserve"> </w:t>
      </w:r>
      <w:proofErr w:type="spellStart"/>
      <w:r w:rsidRPr="00023587">
        <w:rPr>
          <w:rFonts w:ascii="Times New Roman" w:hAnsi="Times New Roman" w:cs="Times New Roman"/>
          <w:i/>
          <w:sz w:val="28"/>
          <w:szCs w:val="28"/>
        </w:rPr>
        <w:t>scientiarum</w:t>
      </w:r>
      <w:proofErr w:type="spellEnd"/>
      <w:r w:rsidRPr="00023587">
        <w:rPr>
          <w:rFonts w:ascii="Times New Roman" w:hAnsi="Times New Roman" w:cs="Times New Roman"/>
          <w:i/>
          <w:sz w:val="28"/>
          <w:szCs w:val="28"/>
        </w:rPr>
        <w:t xml:space="preserve"> et </w:t>
      </w:r>
      <w:proofErr w:type="spellStart"/>
      <w:r w:rsidRPr="00023587">
        <w:rPr>
          <w:rFonts w:ascii="Times New Roman" w:hAnsi="Times New Roman" w:cs="Times New Roman"/>
          <w:i/>
          <w:sz w:val="28"/>
          <w:szCs w:val="28"/>
        </w:rPr>
        <w:t>artium</w:t>
      </w:r>
      <w:proofErr w:type="spellEnd"/>
      <w:r w:rsidRPr="00023587">
        <w:rPr>
          <w:rFonts w:ascii="Times New Roman" w:hAnsi="Times New Roman" w:cs="Times New Roman"/>
          <w:sz w:val="28"/>
          <w:szCs w:val="28"/>
        </w:rPr>
        <w:t xml:space="preserve"> (On the uncertainty and vanity of sciences and arts), or of theological and exegetical nature, such as</w:t>
      </w:r>
      <w:r w:rsidR="00023587">
        <w:rPr>
          <w:rFonts w:ascii="Times New Roman" w:hAnsi="Times New Roman" w:cs="Times New Roman"/>
          <w:sz w:val="28"/>
          <w:szCs w:val="28"/>
        </w:rPr>
        <w:t xml:space="preserve"> his </w:t>
      </w:r>
      <w:r w:rsidR="00912232">
        <w:rPr>
          <w:rFonts w:ascii="Times New Roman" w:hAnsi="Times New Roman" w:cs="Times New Roman"/>
          <w:sz w:val="28"/>
          <w:szCs w:val="28"/>
        </w:rPr>
        <w:t xml:space="preserve">less known </w:t>
      </w:r>
      <w:r w:rsidR="00023587">
        <w:rPr>
          <w:rFonts w:ascii="Times New Roman" w:hAnsi="Times New Roman" w:cs="Times New Roman"/>
          <w:sz w:val="28"/>
          <w:szCs w:val="28"/>
        </w:rPr>
        <w:t>treatises</w:t>
      </w:r>
      <w:r w:rsidRPr="00023587">
        <w:rPr>
          <w:rFonts w:ascii="Times New Roman" w:hAnsi="Times New Roman" w:cs="Times New Roman"/>
          <w:sz w:val="28"/>
          <w:szCs w:val="28"/>
        </w:rPr>
        <w:t xml:space="preserve"> </w:t>
      </w:r>
      <w:r w:rsidRPr="00023587">
        <w:rPr>
          <w:rFonts w:ascii="Times New Roman" w:hAnsi="Times New Roman" w:cs="Times New Roman"/>
          <w:i/>
          <w:sz w:val="28"/>
          <w:szCs w:val="28"/>
        </w:rPr>
        <w:t xml:space="preserve">De </w:t>
      </w:r>
      <w:proofErr w:type="spellStart"/>
      <w:r w:rsidRPr="00023587">
        <w:rPr>
          <w:rFonts w:ascii="Times New Roman" w:hAnsi="Times New Roman" w:cs="Times New Roman"/>
          <w:i/>
          <w:sz w:val="28"/>
          <w:szCs w:val="28"/>
        </w:rPr>
        <w:t>originali</w:t>
      </w:r>
      <w:proofErr w:type="spellEnd"/>
      <w:r w:rsidRPr="00023587">
        <w:rPr>
          <w:rFonts w:ascii="Times New Roman" w:hAnsi="Times New Roman" w:cs="Times New Roman"/>
          <w:i/>
          <w:sz w:val="28"/>
          <w:szCs w:val="28"/>
        </w:rPr>
        <w:t xml:space="preserve"> </w:t>
      </w:r>
      <w:proofErr w:type="spellStart"/>
      <w:r w:rsidRPr="00023587">
        <w:rPr>
          <w:rFonts w:ascii="Times New Roman" w:hAnsi="Times New Roman" w:cs="Times New Roman"/>
          <w:i/>
          <w:sz w:val="28"/>
          <w:szCs w:val="28"/>
        </w:rPr>
        <w:t>peccato</w:t>
      </w:r>
      <w:proofErr w:type="spellEnd"/>
      <w:r w:rsidRPr="00023587">
        <w:rPr>
          <w:rFonts w:ascii="Times New Roman" w:hAnsi="Times New Roman" w:cs="Times New Roman"/>
          <w:sz w:val="28"/>
          <w:szCs w:val="28"/>
        </w:rPr>
        <w:t xml:space="preserve"> </w:t>
      </w:r>
      <w:r w:rsidR="00023587">
        <w:rPr>
          <w:rFonts w:ascii="Times New Roman" w:hAnsi="Times New Roman" w:cs="Times New Roman"/>
          <w:sz w:val="28"/>
          <w:szCs w:val="28"/>
        </w:rPr>
        <w:t xml:space="preserve">(On the original sin) </w:t>
      </w:r>
      <w:r w:rsidRPr="00023587">
        <w:rPr>
          <w:rFonts w:ascii="Times New Roman" w:hAnsi="Times New Roman" w:cs="Times New Roman"/>
          <w:sz w:val="28"/>
          <w:szCs w:val="28"/>
        </w:rPr>
        <w:t xml:space="preserve">and </w:t>
      </w:r>
      <w:proofErr w:type="spellStart"/>
      <w:r w:rsidRPr="00023587">
        <w:rPr>
          <w:rFonts w:ascii="Times New Roman" w:hAnsi="Times New Roman" w:cs="Times New Roman"/>
          <w:i/>
          <w:sz w:val="28"/>
          <w:szCs w:val="28"/>
        </w:rPr>
        <w:t>Dialogus</w:t>
      </w:r>
      <w:proofErr w:type="spellEnd"/>
      <w:r w:rsidRPr="00023587">
        <w:rPr>
          <w:rFonts w:ascii="Times New Roman" w:hAnsi="Times New Roman" w:cs="Times New Roman"/>
          <w:i/>
          <w:sz w:val="28"/>
          <w:szCs w:val="28"/>
        </w:rPr>
        <w:t xml:space="preserve"> de </w:t>
      </w:r>
      <w:proofErr w:type="spellStart"/>
      <w:r w:rsidRPr="00023587">
        <w:rPr>
          <w:rFonts w:ascii="Times New Roman" w:hAnsi="Times New Roman" w:cs="Times New Roman"/>
          <w:i/>
          <w:sz w:val="28"/>
          <w:szCs w:val="28"/>
        </w:rPr>
        <w:t>homine</w:t>
      </w:r>
      <w:proofErr w:type="spellEnd"/>
      <w:r w:rsidR="00023587">
        <w:rPr>
          <w:rFonts w:ascii="Times New Roman" w:hAnsi="Times New Roman" w:cs="Times New Roman"/>
          <w:i/>
          <w:sz w:val="28"/>
          <w:szCs w:val="28"/>
        </w:rPr>
        <w:t xml:space="preserve"> </w:t>
      </w:r>
      <w:r w:rsidR="00023587" w:rsidRPr="00023587">
        <w:rPr>
          <w:rFonts w:ascii="Times New Roman" w:hAnsi="Times New Roman" w:cs="Times New Roman"/>
          <w:sz w:val="28"/>
          <w:szCs w:val="28"/>
        </w:rPr>
        <w:t>(A dialogue</w:t>
      </w:r>
      <w:r w:rsidR="00023587">
        <w:rPr>
          <w:rFonts w:ascii="Times New Roman" w:hAnsi="Times New Roman" w:cs="Times New Roman"/>
          <w:i/>
          <w:sz w:val="28"/>
          <w:szCs w:val="28"/>
        </w:rPr>
        <w:t xml:space="preserve"> </w:t>
      </w:r>
      <w:r w:rsidR="00023587" w:rsidRPr="00023587">
        <w:rPr>
          <w:rFonts w:ascii="Times New Roman" w:hAnsi="Times New Roman" w:cs="Times New Roman"/>
          <w:sz w:val="28"/>
          <w:szCs w:val="28"/>
        </w:rPr>
        <w:t>on man)</w:t>
      </w:r>
      <w:r w:rsidRPr="00023587">
        <w:rPr>
          <w:rFonts w:ascii="Times New Roman" w:hAnsi="Times New Roman" w:cs="Times New Roman"/>
          <w:sz w:val="28"/>
          <w:szCs w:val="28"/>
        </w:rPr>
        <w:t xml:space="preserve">. </w:t>
      </w:r>
      <w:r w:rsidR="0092283A">
        <w:rPr>
          <w:rFonts w:ascii="Times New Roman" w:hAnsi="Times New Roman" w:cs="Times New Roman"/>
          <w:sz w:val="28"/>
          <w:szCs w:val="28"/>
        </w:rPr>
        <w:t>T</w:t>
      </w:r>
      <w:r w:rsidR="00023587">
        <w:rPr>
          <w:rFonts w:ascii="Times New Roman" w:hAnsi="Times New Roman" w:cs="Times New Roman"/>
          <w:sz w:val="28"/>
          <w:szCs w:val="28"/>
        </w:rPr>
        <w:t xml:space="preserve">aken </w:t>
      </w:r>
      <w:r w:rsidR="0092283A">
        <w:rPr>
          <w:rFonts w:ascii="Times New Roman" w:hAnsi="Times New Roman" w:cs="Times New Roman"/>
          <w:sz w:val="28"/>
          <w:szCs w:val="28"/>
        </w:rPr>
        <w:t>i</w:t>
      </w:r>
      <w:r w:rsidR="0092283A" w:rsidRPr="00023587">
        <w:rPr>
          <w:rFonts w:ascii="Times New Roman" w:hAnsi="Times New Roman" w:cs="Times New Roman"/>
          <w:sz w:val="28"/>
          <w:szCs w:val="28"/>
        </w:rPr>
        <w:t>n its entirety</w:t>
      </w:r>
      <w:r w:rsidR="0092283A">
        <w:rPr>
          <w:rFonts w:ascii="Times New Roman" w:hAnsi="Times New Roman" w:cs="Times New Roman"/>
          <w:sz w:val="28"/>
          <w:szCs w:val="28"/>
        </w:rPr>
        <w:t xml:space="preserve"> and </w:t>
      </w:r>
      <w:r w:rsidR="00023587">
        <w:rPr>
          <w:rFonts w:ascii="Times New Roman" w:hAnsi="Times New Roman" w:cs="Times New Roman"/>
          <w:sz w:val="28"/>
          <w:szCs w:val="28"/>
        </w:rPr>
        <w:t>at its face value</w:t>
      </w:r>
      <w:r w:rsidRPr="00023587">
        <w:rPr>
          <w:rFonts w:ascii="Times New Roman" w:hAnsi="Times New Roman" w:cs="Times New Roman"/>
          <w:sz w:val="28"/>
          <w:szCs w:val="28"/>
        </w:rPr>
        <w:t xml:space="preserve">, </w:t>
      </w:r>
      <w:r w:rsidR="00023587">
        <w:rPr>
          <w:rFonts w:ascii="Times New Roman" w:hAnsi="Times New Roman" w:cs="Times New Roman"/>
          <w:sz w:val="28"/>
          <w:szCs w:val="28"/>
        </w:rPr>
        <w:t>Agrippa’s literary opus reveals an author with incoherent and sometimes</w:t>
      </w:r>
      <w:r w:rsidR="00294A83">
        <w:rPr>
          <w:rFonts w:ascii="Times New Roman" w:hAnsi="Times New Roman" w:cs="Times New Roman"/>
          <w:sz w:val="28"/>
          <w:szCs w:val="28"/>
        </w:rPr>
        <w:t xml:space="preserve"> mutually conflicting attitudes. Reading his works suggests</w:t>
      </w:r>
      <w:r w:rsidR="00023587">
        <w:rPr>
          <w:rFonts w:ascii="Times New Roman" w:hAnsi="Times New Roman" w:cs="Times New Roman"/>
          <w:sz w:val="28"/>
          <w:szCs w:val="28"/>
        </w:rPr>
        <w:t xml:space="preserve"> a tense coexistence of a Hermetic magus</w:t>
      </w:r>
      <w:r w:rsidR="00CF05B8">
        <w:rPr>
          <w:rFonts w:ascii="Times New Roman" w:hAnsi="Times New Roman" w:cs="Times New Roman"/>
          <w:sz w:val="28"/>
          <w:szCs w:val="28"/>
        </w:rPr>
        <w:t xml:space="preserve"> who relies on personal initiative for gaining supernatural powers</w:t>
      </w:r>
      <w:r w:rsidR="00023587">
        <w:rPr>
          <w:rFonts w:ascii="Times New Roman" w:hAnsi="Times New Roman" w:cs="Times New Roman"/>
          <w:sz w:val="28"/>
          <w:szCs w:val="28"/>
        </w:rPr>
        <w:t xml:space="preserve"> and</w:t>
      </w:r>
      <w:r w:rsidRPr="00023587">
        <w:rPr>
          <w:rFonts w:ascii="Times New Roman" w:hAnsi="Times New Roman" w:cs="Times New Roman"/>
          <w:sz w:val="28"/>
          <w:szCs w:val="28"/>
        </w:rPr>
        <w:t xml:space="preserve"> a Christi</w:t>
      </w:r>
      <w:r w:rsidR="00023587">
        <w:rPr>
          <w:rFonts w:ascii="Times New Roman" w:hAnsi="Times New Roman" w:cs="Times New Roman"/>
          <w:sz w:val="28"/>
          <w:szCs w:val="28"/>
        </w:rPr>
        <w:t>an humanist</w:t>
      </w:r>
      <w:r w:rsidR="004457B3">
        <w:rPr>
          <w:rFonts w:ascii="Times New Roman" w:hAnsi="Times New Roman" w:cs="Times New Roman"/>
          <w:sz w:val="28"/>
          <w:szCs w:val="28"/>
        </w:rPr>
        <w:t xml:space="preserve"> devoted to the principle</w:t>
      </w:r>
      <w:r w:rsidR="00CF05B8">
        <w:rPr>
          <w:rFonts w:ascii="Times New Roman" w:hAnsi="Times New Roman" w:cs="Times New Roman"/>
          <w:sz w:val="28"/>
          <w:szCs w:val="28"/>
        </w:rPr>
        <w:t xml:space="preserve"> of </w:t>
      </w:r>
      <w:r w:rsidR="00CF05B8" w:rsidRPr="00CF05B8">
        <w:rPr>
          <w:rFonts w:ascii="Times New Roman" w:hAnsi="Times New Roman" w:cs="Times New Roman"/>
          <w:i/>
          <w:sz w:val="28"/>
          <w:szCs w:val="28"/>
        </w:rPr>
        <w:t>sola fide</w:t>
      </w:r>
      <w:r w:rsidR="00E04592">
        <w:rPr>
          <w:rFonts w:ascii="Times New Roman" w:hAnsi="Times New Roman" w:cs="Times New Roman"/>
          <w:sz w:val="28"/>
          <w:szCs w:val="28"/>
        </w:rPr>
        <w:t xml:space="preserve">. </w:t>
      </w:r>
      <w:r w:rsidR="00023587">
        <w:rPr>
          <w:rFonts w:ascii="Times New Roman" w:hAnsi="Times New Roman" w:cs="Times New Roman"/>
          <w:sz w:val="28"/>
          <w:szCs w:val="28"/>
        </w:rPr>
        <w:t xml:space="preserve">Agrippa’s </w:t>
      </w:r>
      <w:r w:rsidR="0092283A">
        <w:rPr>
          <w:rFonts w:ascii="Times New Roman" w:hAnsi="Times New Roman" w:cs="Times New Roman"/>
          <w:sz w:val="28"/>
          <w:szCs w:val="28"/>
        </w:rPr>
        <w:t>apparently inconsistent</w:t>
      </w:r>
      <w:r w:rsidR="00A71CC1">
        <w:rPr>
          <w:rFonts w:ascii="Times New Roman" w:hAnsi="Times New Roman" w:cs="Times New Roman"/>
          <w:sz w:val="28"/>
          <w:szCs w:val="28"/>
        </w:rPr>
        <w:t xml:space="preserve"> religious </w:t>
      </w:r>
      <w:r w:rsidR="00CF05B8">
        <w:rPr>
          <w:rFonts w:ascii="Times New Roman" w:hAnsi="Times New Roman" w:cs="Times New Roman"/>
          <w:sz w:val="28"/>
          <w:szCs w:val="28"/>
        </w:rPr>
        <w:t xml:space="preserve">and philosophical </w:t>
      </w:r>
      <w:r w:rsidR="00A71CC1">
        <w:rPr>
          <w:rFonts w:ascii="Times New Roman" w:hAnsi="Times New Roman" w:cs="Times New Roman"/>
          <w:sz w:val="28"/>
          <w:szCs w:val="28"/>
        </w:rPr>
        <w:t xml:space="preserve">convictions </w:t>
      </w:r>
      <w:r w:rsidR="00CF05B8">
        <w:rPr>
          <w:rFonts w:ascii="Times New Roman" w:hAnsi="Times New Roman" w:cs="Times New Roman"/>
          <w:sz w:val="28"/>
          <w:szCs w:val="28"/>
        </w:rPr>
        <w:t xml:space="preserve">still </w:t>
      </w:r>
      <w:r w:rsidR="00A71CC1">
        <w:rPr>
          <w:rFonts w:ascii="Times New Roman" w:hAnsi="Times New Roman" w:cs="Times New Roman"/>
          <w:sz w:val="28"/>
          <w:szCs w:val="28"/>
        </w:rPr>
        <w:t>remain a</w:t>
      </w:r>
      <w:r w:rsidRPr="00023587">
        <w:rPr>
          <w:rFonts w:ascii="Times New Roman" w:hAnsi="Times New Roman" w:cs="Times New Roman"/>
          <w:sz w:val="28"/>
          <w:szCs w:val="28"/>
        </w:rPr>
        <w:t xml:space="preserve"> cons</w:t>
      </w:r>
      <w:r w:rsidR="00A71CC1">
        <w:rPr>
          <w:rFonts w:ascii="Times New Roman" w:hAnsi="Times New Roman" w:cs="Times New Roman"/>
          <w:sz w:val="28"/>
          <w:szCs w:val="28"/>
        </w:rPr>
        <w:t>iderable hermeneutic challenge</w:t>
      </w:r>
      <w:r w:rsidR="00CF05B8">
        <w:rPr>
          <w:rFonts w:ascii="Times New Roman" w:hAnsi="Times New Roman" w:cs="Times New Roman"/>
          <w:sz w:val="28"/>
          <w:szCs w:val="28"/>
        </w:rPr>
        <w:t xml:space="preserve">. The existing scholarly </w:t>
      </w:r>
      <w:r w:rsidRPr="00023587">
        <w:rPr>
          <w:rFonts w:ascii="Times New Roman" w:hAnsi="Times New Roman" w:cs="Times New Roman"/>
          <w:sz w:val="28"/>
          <w:szCs w:val="28"/>
        </w:rPr>
        <w:t xml:space="preserve">interpretations of </w:t>
      </w:r>
      <w:r w:rsidR="00CF05B8">
        <w:rPr>
          <w:rFonts w:ascii="Times New Roman" w:hAnsi="Times New Roman" w:cs="Times New Roman"/>
          <w:sz w:val="28"/>
          <w:szCs w:val="28"/>
        </w:rPr>
        <w:t>this problem are usually based on two types of dichotomy perceived in his thought</w:t>
      </w:r>
      <w:r w:rsidRPr="00023587">
        <w:rPr>
          <w:rFonts w:ascii="Times New Roman" w:hAnsi="Times New Roman" w:cs="Times New Roman"/>
          <w:sz w:val="28"/>
          <w:szCs w:val="28"/>
        </w:rPr>
        <w:t>: that of Agrippa’s skepticism versus</w:t>
      </w:r>
      <w:r w:rsidR="004823E1">
        <w:rPr>
          <w:rFonts w:ascii="Times New Roman" w:hAnsi="Times New Roman" w:cs="Times New Roman"/>
          <w:sz w:val="28"/>
          <w:szCs w:val="28"/>
        </w:rPr>
        <w:t xml:space="preserve"> his religious</w:t>
      </w:r>
      <w:r w:rsidR="006C1123">
        <w:rPr>
          <w:rFonts w:ascii="Times New Roman" w:hAnsi="Times New Roman" w:cs="Times New Roman"/>
          <w:sz w:val="28"/>
          <w:szCs w:val="28"/>
        </w:rPr>
        <w:t xml:space="preserve"> devotion, and</w:t>
      </w:r>
      <w:r w:rsidR="00141AF2">
        <w:rPr>
          <w:rFonts w:ascii="Times New Roman" w:hAnsi="Times New Roman" w:cs="Times New Roman"/>
          <w:sz w:val="28"/>
          <w:szCs w:val="28"/>
        </w:rPr>
        <w:t xml:space="preserve"> that</w:t>
      </w:r>
      <w:r w:rsidRPr="00023587">
        <w:rPr>
          <w:rFonts w:ascii="Times New Roman" w:hAnsi="Times New Roman" w:cs="Times New Roman"/>
          <w:sz w:val="28"/>
          <w:szCs w:val="28"/>
        </w:rPr>
        <w:t xml:space="preserve"> of Agrippa’s invol</w:t>
      </w:r>
      <w:r w:rsidR="006C1123">
        <w:rPr>
          <w:rFonts w:ascii="Times New Roman" w:hAnsi="Times New Roman" w:cs="Times New Roman"/>
          <w:sz w:val="28"/>
          <w:szCs w:val="28"/>
        </w:rPr>
        <w:t>vement in the occult</w:t>
      </w:r>
      <w:r w:rsidRPr="00023587">
        <w:rPr>
          <w:rFonts w:ascii="Times New Roman" w:hAnsi="Times New Roman" w:cs="Times New Roman"/>
          <w:sz w:val="28"/>
          <w:szCs w:val="28"/>
        </w:rPr>
        <w:t xml:space="preserve"> versus his self-proclaimed adherence to Christian orthodoxy.</w:t>
      </w:r>
    </w:p>
    <w:p w:rsidR="00264B7D" w:rsidRPr="009839E5" w:rsidRDefault="006C49C5" w:rsidP="008A621B">
      <w:pPr>
        <w:spacing w:after="120"/>
        <w:ind w:firstLine="720"/>
        <w:jc w:val="both"/>
        <w:rPr>
          <w:rFonts w:ascii="Times New Roman" w:hAnsi="Times New Roman" w:cs="Times New Roman"/>
          <w:sz w:val="28"/>
          <w:szCs w:val="28"/>
        </w:rPr>
      </w:pPr>
      <w:r w:rsidRPr="009839E5">
        <w:rPr>
          <w:rFonts w:ascii="Times New Roman" w:hAnsi="Times New Roman" w:cs="Times New Roman"/>
          <w:sz w:val="28"/>
          <w:szCs w:val="28"/>
        </w:rPr>
        <w:t>I</w:t>
      </w:r>
      <w:r w:rsidR="002E385A" w:rsidRPr="009839E5">
        <w:rPr>
          <w:rFonts w:ascii="Times New Roman" w:hAnsi="Times New Roman" w:cs="Times New Roman"/>
          <w:sz w:val="28"/>
          <w:szCs w:val="28"/>
        </w:rPr>
        <w:t xml:space="preserve">n my dissertation I </w:t>
      </w:r>
      <w:r w:rsidRPr="009839E5">
        <w:rPr>
          <w:rFonts w:ascii="Times New Roman" w:hAnsi="Times New Roman" w:cs="Times New Roman"/>
          <w:sz w:val="28"/>
          <w:szCs w:val="28"/>
        </w:rPr>
        <w:t>revisit the second d</w:t>
      </w:r>
      <w:r w:rsidR="002E385A" w:rsidRPr="009839E5">
        <w:rPr>
          <w:rFonts w:ascii="Times New Roman" w:hAnsi="Times New Roman" w:cs="Times New Roman"/>
          <w:sz w:val="28"/>
          <w:szCs w:val="28"/>
        </w:rPr>
        <w:t xml:space="preserve">ichotomy, </w:t>
      </w:r>
      <w:r w:rsidRPr="009839E5">
        <w:rPr>
          <w:rFonts w:ascii="Times New Roman" w:hAnsi="Times New Roman" w:cs="Times New Roman"/>
          <w:sz w:val="28"/>
          <w:szCs w:val="28"/>
        </w:rPr>
        <w:t xml:space="preserve">that of Agrippa’s dedication to the theory and practice of magic </w:t>
      </w:r>
      <w:r w:rsidR="002E385A" w:rsidRPr="009839E5">
        <w:rPr>
          <w:rFonts w:ascii="Times New Roman" w:hAnsi="Times New Roman" w:cs="Times New Roman"/>
          <w:sz w:val="28"/>
          <w:szCs w:val="28"/>
        </w:rPr>
        <w:t xml:space="preserve">vis-à-vis </w:t>
      </w:r>
      <w:r w:rsidRPr="009839E5">
        <w:rPr>
          <w:rFonts w:ascii="Times New Roman" w:hAnsi="Times New Roman" w:cs="Times New Roman"/>
          <w:sz w:val="28"/>
          <w:szCs w:val="28"/>
        </w:rPr>
        <w:t>his religious self-ide</w:t>
      </w:r>
      <w:r w:rsidR="001A2261" w:rsidRPr="009839E5">
        <w:rPr>
          <w:rFonts w:ascii="Times New Roman" w:hAnsi="Times New Roman" w:cs="Times New Roman"/>
          <w:sz w:val="28"/>
          <w:szCs w:val="28"/>
        </w:rPr>
        <w:t>ntification as a pious and devoted</w:t>
      </w:r>
      <w:r w:rsidRPr="009839E5">
        <w:rPr>
          <w:rFonts w:ascii="Times New Roman" w:hAnsi="Times New Roman" w:cs="Times New Roman"/>
          <w:sz w:val="28"/>
          <w:szCs w:val="28"/>
        </w:rPr>
        <w:t xml:space="preserve"> Christian. More prec</w:t>
      </w:r>
      <w:r w:rsidR="009839E5" w:rsidRPr="009839E5">
        <w:rPr>
          <w:rFonts w:ascii="Times New Roman" w:hAnsi="Times New Roman" w:cs="Times New Roman"/>
          <w:sz w:val="28"/>
          <w:szCs w:val="28"/>
        </w:rPr>
        <w:t>isely, I examine a</w:t>
      </w:r>
      <w:r w:rsidR="00264B7D" w:rsidRPr="009839E5">
        <w:rPr>
          <w:rFonts w:ascii="Times New Roman" w:hAnsi="Times New Roman" w:cs="Times New Roman"/>
          <w:sz w:val="28"/>
          <w:szCs w:val="28"/>
        </w:rPr>
        <w:t xml:space="preserve"> hybrid notion</w:t>
      </w:r>
      <w:r w:rsidRPr="009839E5">
        <w:rPr>
          <w:rFonts w:ascii="Times New Roman" w:hAnsi="Times New Roman" w:cs="Times New Roman"/>
          <w:sz w:val="28"/>
          <w:szCs w:val="28"/>
        </w:rPr>
        <w:t xml:space="preserve"> that Agrippa attempted to articulate and defend against his critics: that of a pious Chri</w:t>
      </w:r>
      <w:r w:rsidR="001A2261" w:rsidRPr="009839E5">
        <w:rPr>
          <w:rFonts w:ascii="Times New Roman" w:hAnsi="Times New Roman" w:cs="Times New Roman"/>
          <w:sz w:val="28"/>
          <w:szCs w:val="28"/>
        </w:rPr>
        <w:t>stian magician, which is</w:t>
      </w:r>
      <w:r w:rsidRPr="009839E5">
        <w:rPr>
          <w:rFonts w:ascii="Times New Roman" w:hAnsi="Times New Roman" w:cs="Times New Roman"/>
          <w:sz w:val="28"/>
          <w:szCs w:val="28"/>
        </w:rPr>
        <w:t xml:space="preserve"> how he fashioned himself in </w:t>
      </w:r>
      <w:r w:rsidR="001A2261" w:rsidRPr="009839E5">
        <w:rPr>
          <w:rFonts w:ascii="Times New Roman" w:hAnsi="Times New Roman" w:cs="Times New Roman"/>
          <w:sz w:val="28"/>
          <w:szCs w:val="28"/>
        </w:rPr>
        <w:t>some of his writings</w:t>
      </w:r>
      <w:r w:rsidR="002E385A" w:rsidRPr="009839E5">
        <w:rPr>
          <w:rFonts w:ascii="Times New Roman" w:hAnsi="Times New Roman" w:cs="Times New Roman"/>
          <w:sz w:val="28"/>
          <w:szCs w:val="28"/>
        </w:rPr>
        <w:t xml:space="preserve">. My dissertation is a further development of the </w:t>
      </w:r>
      <w:r w:rsidR="00264B7D" w:rsidRPr="009839E5">
        <w:rPr>
          <w:rFonts w:ascii="Times New Roman" w:hAnsi="Times New Roman" w:cs="Times New Roman"/>
          <w:sz w:val="28"/>
          <w:szCs w:val="28"/>
        </w:rPr>
        <w:t>ideas delineated in</w:t>
      </w:r>
      <w:r w:rsidRPr="009839E5">
        <w:rPr>
          <w:rFonts w:ascii="Times New Roman" w:hAnsi="Times New Roman" w:cs="Times New Roman"/>
          <w:sz w:val="28"/>
          <w:szCs w:val="28"/>
        </w:rPr>
        <w:t xml:space="preserve"> my MA thesis, in which I analyzed Agrippa’s magical doctrines and </w:t>
      </w:r>
      <w:r w:rsidRPr="009839E5">
        <w:rPr>
          <w:rFonts w:ascii="Times New Roman" w:hAnsi="Times New Roman" w:cs="Times New Roman"/>
          <w:sz w:val="28"/>
          <w:szCs w:val="28"/>
        </w:rPr>
        <w:lastRenderedPageBreak/>
        <w:t>argued that they were based on the notion of spiritual ascension or deification—in other words, that they were eminen</w:t>
      </w:r>
      <w:r w:rsidR="00264B7D" w:rsidRPr="009839E5">
        <w:rPr>
          <w:rFonts w:ascii="Times New Roman" w:hAnsi="Times New Roman" w:cs="Times New Roman"/>
          <w:sz w:val="28"/>
          <w:szCs w:val="28"/>
        </w:rPr>
        <w:t xml:space="preserve">tly religious in nature. </w:t>
      </w:r>
    </w:p>
    <w:p w:rsidR="006C49C5" w:rsidRPr="0051784A" w:rsidRDefault="009839E5" w:rsidP="008A621B">
      <w:pPr>
        <w:spacing w:after="120"/>
        <w:ind w:firstLine="720"/>
        <w:jc w:val="both"/>
        <w:rPr>
          <w:rFonts w:ascii="Times New Roman" w:hAnsi="Times New Roman" w:cs="Times New Roman"/>
          <w:sz w:val="28"/>
          <w:szCs w:val="28"/>
        </w:rPr>
      </w:pPr>
      <w:r w:rsidRPr="0051784A">
        <w:rPr>
          <w:rFonts w:ascii="Times New Roman" w:hAnsi="Times New Roman" w:cs="Times New Roman"/>
          <w:sz w:val="28"/>
          <w:szCs w:val="28"/>
        </w:rPr>
        <w:t>In my work</w:t>
      </w:r>
      <w:r w:rsidR="00264B7D" w:rsidRPr="0051784A">
        <w:rPr>
          <w:rFonts w:ascii="Times New Roman" w:hAnsi="Times New Roman" w:cs="Times New Roman"/>
          <w:sz w:val="28"/>
          <w:szCs w:val="28"/>
        </w:rPr>
        <w:t xml:space="preserve"> I focus on</w:t>
      </w:r>
      <w:r w:rsidR="006C49C5" w:rsidRPr="0051784A">
        <w:rPr>
          <w:rFonts w:ascii="Times New Roman" w:hAnsi="Times New Roman" w:cs="Times New Roman"/>
          <w:sz w:val="28"/>
          <w:szCs w:val="28"/>
        </w:rPr>
        <w:t xml:space="preserve"> the </w:t>
      </w:r>
      <w:r w:rsidR="00264B7D" w:rsidRPr="0051784A">
        <w:rPr>
          <w:rFonts w:ascii="Times New Roman" w:hAnsi="Times New Roman" w:cs="Times New Roman"/>
          <w:sz w:val="28"/>
          <w:szCs w:val="28"/>
        </w:rPr>
        <w:t xml:space="preserve">apparently </w:t>
      </w:r>
      <w:r w:rsidR="006C49C5" w:rsidRPr="0051784A">
        <w:rPr>
          <w:rFonts w:ascii="Times New Roman" w:hAnsi="Times New Roman" w:cs="Times New Roman"/>
          <w:sz w:val="28"/>
          <w:szCs w:val="28"/>
        </w:rPr>
        <w:t>Pelagian character of Agrippa’s understanding of ascension, especially when considered in relation to the other, supposedly orthodox side of his thought.</w:t>
      </w:r>
      <w:r w:rsidR="00593A04" w:rsidRPr="0051784A">
        <w:rPr>
          <w:rFonts w:ascii="Times New Roman" w:hAnsi="Times New Roman" w:cs="Times New Roman"/>
          <w:sz w:val="28"/>
          <w:szCs w:val="28"/>
        </w:rPr>
        <w:t xml:space="preserve"> I approach the</w:t>
      </w:r>
      <w:r w:rsidR="00264B7D" w:rsidRPr="0051784A">
        <w:rPr>
          <w:rFonts w:ascii="Times New Roman" w:hAnsi="Times New Roman" w:cs="Times New Roman"/>
          <w:sz w:val="28"/>
          <w:szCs w:val="28"/>
        </w:rPr>
        <w:t xml:space="preserve"> problem by analyzing</w:t>
      </w:r>
      <w:r w:rsidR="006C49C5" w:rsidRPr="0051784A">
        <w:rPr>
          <w:rFonts w:ascii="Times New Roman" w:hAnsi="Times New Roman" w:cs="Times New Roman"/>
          <w:sz w:val="28"/>
          <w:szCs w:val="28"/>
        </w:rPr>
        <w:t xml:space="preserve"> Agrippa’s works in the perspective of his anthropology and with the idea that his views on man can help us clarify his ambiguous position in the intellectual history of the early sixteenth-century Europe. I start off with the presumption that Agrippa’s anthropology is a meeting point between the magical and Christian sides of his thought. By anthropology I imply a complex set of beliefs, notions, and doctrines concerning issues such as</w:t>
      </w:r>
      <w:r w:rsidR="0070471F">
        <w:rPr>
          <w:rFonts w:ascii="Times New Roman" w:hAnsi="Times New Roman" w:cs="Times New Roman"/>
          <w:sz w:val="28"/>
          <w:szCs w:val="28"/>
        </w:rPr>
        <w:t xml:space="preserve"> the self, personhood, the r</w:t>
      </w:r>
      <w:r w:rsidR="006C49C5" w:rsidRPr="0051784A">
        <w:rPr>
          <w:rFonts w:ascii="Times New Roman" w:hAnsi="Times New Roman" w:cs="Times New Roman"/>
          <w:sz w:val="28"/>
          <w:szCs w:val="28"/>
        </w:rPr>
        <w:t>elations</w:t>
      </w:r>
      <w:r w:rsidR="0070471F">
        <w:rPr>
          <w:rFonts w:ascii="Times New Roman" w:hAnsi="Times New Roman" w:cs="Times New Roman"/>
          <w:sz w:val="28"/>
          <w:szCs w:val="28"/>
        </w:rPr>
        <w:t xml:space="preserve"> between body and soul</w:t>
      </w:r>
      <w:r w:rsidR="006C49C5" w:rsidRPr="0051784A">
        <w:rPr>
          <w:rFonts w:ascii="Times New Roman" w:hAnsi="Times New Roman" w:cs="Times New Roman"/>
          <w:sz w:val="28"/>
          <w:szCs w:val="28"/>
        </w:rPr>
        <w:t>, etc. that governed Agrippa’s understanding of the phenomena he dealt with in his writings. Thus, my main research questions can be formulated as follows: what</w:t>
      </w:r>
      <w:r w:rsidR="00593A04" w:rsidRPr="0051784A">
        <w:rPr>
          <w:rFonts w:ascii="Times New Roman" w:hAnsi="Times New Roman" w:cs="Times New Roman"/>
          <w:sz w:val="28"/>
          <w:szCs w:val="28"/>
        </w:rPr>
        <w:t>,</w:t>
      </w:r>
      <w:r w:rsidR="006C49C5" w:rsidRPr="0051784A">
        <w:rPr>
          <w:rFonts w:ascii="Times New Roman" w:hAnsi="Times New Roman" w:cs="Times New Roman"/>
          <w:sz w:val="28"/>
          <w:szCs w:val="28"/>
        </w:rPr>
        <w:t xml:space="preserve"> </w:t>
      </w:r>
      <w:r w:rsidR="00593A04" w:rsidRPr="0051784A">
        <w:rPr>
          <w:rFonts w:ascii="Times New Roman" w:hAnsi="Times New Roman" w:cs="Times New Roman"/>
          <w:sz w:val="28"/>
          <w:szCs w:val="28"/>
        </w:rPr>
        <w:t xml:space="preserve">according to Agrippa, </w:t>
      </w:r>
      <w:r w:rsidR="006C49C5" w:rsidRPr="0051784A">
        <w:rPr>
          <w:rFonts w:ascii="Times New Roman" w:hAnsi="Times New Roman" w:cs="Times New Roman"/>
          <w:sz w:val="28"/>
          <w:szCs w:val="28"/>
        </w:rPr>
        <w:t>constitutes the human being? How does he understand the relations between body and soul? What is Agrippa’s attitude towards the physical body, which plays a crucial role in the Christian doctrine of salvation? What is man’s position within the created world and with regard to the transcendental realm and God? How did man get to the created world and how does he leave it? Finally, what do Agrippa’s anthropological views tell us about his religious self-identification? Can they shed more light on the problem of his evident heterodoxy and self-proclaimed orthodoxy?</w:t>
      </w:r>
    </w:p>
    <w:p w:rsidR="006C49C5" w:rsidRPr="00171FAA" w:rsidRDefault="006C49C5" w:rsidP="008A621B">
      <w:pPr>
        <w:spacing w:after="120"/>
        <w:ind w:firstLine="720"/>
        <w:jc w:val="both"/>
        <w:rPr>
          <w:rFonts w:ascii="Times New Roman" w:hAnsi="Times New Roman" w:cs="Times New Roman"/>
          <w:sz w:val="28"/>
          <w:szCs w:val="28"/>
        </w:rPr>
      </w:pPr>
      <w:r w:rsidRPr="00171FAA">
        <w:rPr>
          <w:rFonts w:ascii="Times New Roman" w:hAnsi="Times New Roman" w:cs="Times New Roman"/>
          <w:sz w:val="28"/>
          <w:szCs w:val="28"/>
        </w:rPr>
        <w:t xml:space="preserve">The main sources for my examination are Agrippa’s </w:t>
      </w:r>
      <w:r w:rsidRPr="00171FAA">
        <w:rPr>
          <w:rFonts w:ascii="Times New Roman" w:hAnsi="Times New Roman" w:cs="Times New Roman"/>
          <w:i/>
          <w:sz w:val="28"/>
          <w:szCs w:val="28"/>
        </w:rPr>
        <w:t xml:space="preserve">De occulta </w:t>
      </w:r>
      <w:proofErr w:type="spellStart"/>
      <w:r w:rsidRPr="00171FAA">
        <w:rPr>
          <w:rFonts w:ascii="Times New Roman" w:hAnsi="Times New Roman" w:cs="Times New Roman"/>
          <w:i/>
          <w:sz w:val="28"/>
          <w:szCs w:val="28"/>
        </w:rPr>
        <w:t>philosophia</w:t>
      </w:r>
      <w:proofErr w:type="spellEnd"/>
      <w:r w:rsidRPr="00171FAA">
        <w:rPr>
          <w:rFonts w:ascii="Times New Roman" w:hAnsi="Times New Roman" w:cs="Times New Roman"/>
          <w:sz w:val="28"/>
          <w:szCs w:val="28"/>
        </w:rPr>
        <w:t xml:space="preserve"> and three smaller treatises that have so far received little scholarly attention, although they are of paramount importance for understanding Agrippa’s anthropology. These are </w:t>
      </w:r>
      <w:r w:rsidRPr="00171FAA">
        <w:rPr>
          <w:rFonts w:ascii="Times New Roman" w:hAnsi="Times New Roman" w:cs="Times New Roman"/>
          <w:i/>
          <w:sz w:val="28"/>
          <w:szCs w:val="28"/>
        </w:rPr>
        <w:t xml:space="preserve">De </w:t>
      </w:r>
      <w:proofErr w:type="spellStart"/>
      <w:r w:rsidRPr="00171FAA">
        <w:rPr>
          <w:rFonts w:ascii="Times New Roman" w:hAnsi="Times New Roman" w:cs="Times New Roman"/>
          <w:i/>
          <w:sz w:val="28"/>
          <w:szCs w:val="28"/>
        </w:rPr>
        <w:t>triplici</w:t>
      </w:r>
      <w:proofErr w:type="spellEnd"/>
      <w:r w:rsidRPr="00171FAA">
        <w:rPr>
          <w:rFonts w:ascii="Times New Roman" w:hAnsi="Times New Roman" w:cs="Times New Roman"/>
          <w:i/>
          <w:sz w:val="28"/>
          <w:szCs w:val="28"/>
        </w:rPr>
        <w:t xml:space="preserve"> </w:t>
      </w:r>
      <w:proofErr w:type="spellStart"/>
      <w:r w:rsidRPr="00171FAA">
        <w:rPr>
          <w:rFonts w:ascii="Times New Roman" w:hAnsi="Times New Roman" w:cs="Times New Roman"/>
          <w:i/>
          <w:sz w:val="28"/>
          <w:szCs w:val="28"/>
        </w:rPr>
        <w:t>ratione</w:t>
      </w:r>
      <w:proofErr w:type="spellEnd"/>
      <w:r w:rsidRPr="00171FAA">
        <w:rPr>
          <w:rFonts w:ascii="Times New Roman" w:hAnsi="Times New Roman" w:cs="Times New Roman"/>
          <w:i/>
          <w:sz w:val="28"/>
          <w:szCs w:val="28"/>
        </w:rPr>
        <w:t xml:space="preserve"> </w:t>
      </w:r>
      <w:proofErr w:type="spellStart"/>
      <w:r w:rsidRPr="00171FAA">
        <w:rPr>
          <w:rFonts w:ascii="Times New Roman" w:hAnsi="Times New Roman" w:cs="Times New Roman"/>
          <w:i/>
          <w:sz w:val="28"/>
          <w:szCs w:val="28"/>
        </w:rPr>
        <w:t>cognoscendi</w:t>
      </w:r>
      <w:proofErr w:type="spellEnd"/>
      <w:r w:rsidRPr="00171FAA">
        <w:rPr>
          <w:rFonts w:ascii="Times New Roman" w:hAnsi="Times New Roman" w:cs="Times New Roman"/>
          <w:i/>
          <w:sz w:val="28"/>
          <w:szCs w:val="28"/>
        </w:rPr>
        <w:t xml:space="preserve"> Deum</w:t>
      </w:r>
      <w:r w:rsidRPr="00171FAA">
        <w:rPr>
          <w:rFonts w:ascii="Times New Roman" w:hAnsi="Times New Roman" w:cs="Times New Roman"/>
          <w:sz w:val="28"/>
          <w:szCs w:val="28"/>
        </w:rPr>
        <w:t xml:space="preserve"> (On the three ways of knowing God), the unfinished </w:t>
      </w:r>
      <w:proofErr w:type="spellStart"/>
      <w:r w:rsidRPr="00171FAA">
        <w:rPr>
          <w:rFonts w:ascii="Times New Roman" w:hAnsi="Times New Roman" w:cs="Times New Roman"/>
          <w:i/>
          <w:sz w:val="28"/>
          <w:szCs w:val="28"/>
        </w:rPr>
        <w:t>Dialogus</w:t>
      </w:r>
      <w:proofErr w:type="spellEnd"/>
      <w:r w:rsidRPr="00171FAA">
        <w:rPr>
          <w:rFonts w:ascii="Times New Roman" w:hAnsi="Times New Roman" w:cs="Times New Roman"/>
          <w:i/>
          <w:sz w:val="28"/>
          <w:szCs w:val="28"/>
        </w:rPr>
        <w:t xml:space="preserve"> de </w:t>
      </w:r>
      <w:proofErr w:type="spellStart"/>
      <w:r w:rsidRPr="00171FAA">
        <w:rPr>
          <w:rFonts w:ascii="Times New Roman" w:hAnsi="Times New Roman" w:cs="Times New Roman"/>
          <w:i/>
          <w:sz w:val="28"/>
          <w:szCs w:val="28"/>
        </w:rPr>
        <w:t>homine</w:t>
      </w:r>
      <w:proofErr w:type="spellEnd"/>
      <w:r w:rsidRPr="00171FAA">
        <w:rPr>
          <w:rFonts w:ascii="Times New Roman" w:hAnsi="Times New Roman" w:cs="Times New Roman"/>
          <w:sz w:val="28"/>
          <w:szCs w:val="28"/>
        </w:rPr>
        <w:t xml:space="preserve"> (A dialogue on man)</w:t>
      </w:r>
      <w:r w:rsidR="00797A5D">
        <w:rPr>
          <w:rFonts w:ascii="Times New Roman" w:hAnsi="Times New Roman" w:cs="Times New Roman"/>
          <w:sz w:val="28"/>
          <w:szCs w:val="28"/>
        </w:rPr>
        <w:t>,</w:t>
      </w:r>
      <w:r w:rsidRPr="00171FAA">
        <w:rPr>
          <w:rFonts w:ascii="Times New Roman" w:hAnsi="Times New Roman" w:cs="Times New Roman"/>
          <w:sz w:val="28"/>
          <w:szCs w:val="28"/>
        </w:rPr>
        <w:t xml:space="preserve"> and Agrippa’s only surviving exegetical work, </w:t>
      </w:r>
      <w:r w:rsidRPr="00171FAA">
        <w:rPr>
          <w:rFonts w:ascii="Times New Roman" w:hAnsi="Times New Roman" w:cs="Times New Roman"/>
          <w:i/>
          <w:sz w:val="28"/>
          <w:szCs w:val="28"/>
        </w:rPr>
        <w:t xml:space="preserve">De </w:t>
      </w:r>
      <w:proofErr w:type="spellStart"/>
      <w:r w:rsidRPr="00171FAA">
        <w:rPr>
          <w:rFonts w:ascii="Times New Roman" w:hAnsi="Times New Roman" w:cs="Times New Roman"/>
          <w:i/>
          <w:sz w:val="28"/>
          <w:szCs w:val="28"/>
        </w:rPr>
        <w:t>originali</w:t>
      </w:r>
      <w:proofErr w:type="spellEnd"/>
      <w:r w:rsidRPr="00171FAA">
        <w:rPr>
          <w:rFonts w:ascii="Times New Roman" w:hAnsi="Times New Roman" w:cs="Times New Roman"/>
          <w:i/>
          <w:sz w:val="28"/>
          <w:szCs w:val="28"/>
        </w:rPr>
        <w:t xml:space="preserve"> </w:t>
      </w:r>
      <w:proofErr w:type="spellStart"/>
      <w:r w:rsidRPr="00171FAA">
        <w:rPr>
          <w:rFonts w:ascii="Times New Roman" w:hAnsi="Times New Roman" w:cs="Times New Roman"/>
          <w:i/>
          <w:sz w:val="28"/>
          <w:szCs w:val="28"/>
        </w:rPr>
        <w:t>peccato</w:t>
      </w:r>
      <w:proofErr w:type="spellEnd"/>
      <w:r w:rsidRPr="00171FAA">
        <w:rPr>
          <w:rFonts w:ascii="Times New Roman" w:hAnsi="Times New Roman" w:cs="Times New Roman"/>
          <w:sz w:val="28"/>
          <w:szCs w:val="28"/>
        </w:rPr>
        <w:t xml:space="preserve"> (On the original sin). Occasionally, I also take into consideration Agrippa’s second major work, </w:t>
      </w:r>
      <w:r w:rsidRPr="00171FAA">
        <w:rPr>
          <w:rFonts w:ascii="Times New Roman" w:hAnsi="Times New Roman" w:cs="Times New Roman"/>
          <w:i/>
          <w:sz w:val="28"/>
          <w:szCs w:val="28"/>
        </w:rPr>
        <w:t xml:space="preserve">De </w:t>
      </w:r>
      <w:proofErr w:type="spellStart"/>
      <w:r w:rsidRPr="00171FAA">
        <w:rPr>
          <w:rFonts w:ascii="Times New Roman" w:hAnsi="Times New Roman" w:cs="Times New Roman"/>
          <w:i/>
          <w:sz w:val="28"/>
          <w:szCs w:val="28"/>
        </w:rPr>
        <w:t>incertitudine</w:t>
      </w:r>
      <w:proofErr w:type="spellEnd"/>
      <w:r w:rsidRPr="00171FAA">
        <w:rPr>
          <w:rFonts w:ascii="Times New Roman" w:hAnsi="Times New Roman" w:cs="Times New Roman"/>
          <w:i/>
          <w:sz w:val="28"/>
          <w:szCs w:val="28"/>
        </w:rPr>
        <w:t xml:space="preserve"> et </w:t>
      </w:r>
      <w:proofErr w:type="spellStart"/>
      <w:r w:rsidRPr="00171FAA">
        <w:rPr>
          <w:rFonts w:ascii="Times New Roman" w:hAnsi="Times New Roman" w:cs="Times New Roman"/>
          <w:i/>
          <w:sz w:val="28"/>
          <w:szCs w:val="28"/>
        </w:rPr>
        <w:t>vanitate</w:t>
      </w:r>
      <w:proofErr w:type="spellEnd"/>
      <w:r w:rsidRPr="00171FAA">
        <w:rPr>
          <w:rFonts w:ascii="Times New Roman" w:hAnsi="Times New Roman" w:cs="Times New Roman"/>
          <w:i/>
          <w:sz w:val="28"/>
          <w:szCs w:val="28"/>
        </w:rPr>
        <w:t xml:space="preserve"> </w:t>
      </w:r>
      <w:proofErr w:type="spellStart"/>
      <w:r w:rsidRPr="00171FAA">
        <w:rPr>
          <w:rFonts w:ascii="Times New Roman" w:hAnsi="Times New Roman" w:cs="Times New Roman"/>
          <w:i/>
          <w:sz w:val="28"/>
          <w:szCs w:val="28"/>
        </w:rPr>
        <w:t>scientiarum</w:t>
      </w:r>
      <w:proofErr w:type="spellEnd"/>
      <w:r w:rsidRPr="00171FAA">
        <w:rPr>
          <w:rFonts w:ascii="Times New Roman" w:hAnsi="Times New Roman" w:cs="Times New Roman"/>
          <w:i/>
          <w:sz w:val="28"/>
          <w:szCs w:val="28"/>
        </w:rPr>
        <w:t xml:space="preserve"> et </w:t>
      </w:r>
      <w:proofErr w:type="spellStart"/>
      <w:r w:rsidRPr="00171FAA">
        <w:rPr>
          <w:rFonts w:ascii="Times New Roman" w:hAnsi="Times New Roman" w:cs="Times New Roman"/>
          <w:i/>
          <w:sz w:val="28"/>
          <w:szCs w:val="28"/>
        </w:rPr>
        <w:t>artium</w:t>
      </w:r>
      <w:proofErr w:type="spellEnd"/>
      <w:r w:rsidRPr="00171FAA">
        <w:rPr>
          <w:rFonts w:ascii="Times New Roman" w:hAnsi="Times New Roman" w:cs="Times New Roman"/>
          <w:sz w:val="28"/>
          <w:szCs w:val="28"/>
        </w:rPr>
        <w:t>, as well as small parts of his huge surviving correspondence. To my knowledge, none of these works has been systematic</w:t>
      </w:r>
      <w:r w:rsidR="00171FAA" w:rsidRPr="00171FAA">
        <w:rPr>
          <w:rFonts w:ascii="Times New Roman" w:hAnsi="Times New Roman" w:cs="Times New Roman"/>
          <w:sz w:val="28"/>
          <w:szCs w:val="28"/>
        </w:rPr>
        <w:t>ally analyzed in the context</w:t>
      </w:r>
      <w:r w:rsidRPr="00171FAA">
        <w:rPr>
          <w:rFonts w:ascii="Times New Roman" w:hAnsi="Times New Roman" w:cs="Times New Roman"/>
          <w:sz w:val="28"/>
          <w:szCs w:val="28"/>
        </w:rPr>
        <w:t xml:space="preserve"> of Agrippa’s anthropology and I hope that my dissertation will contribute to filling in that gap in the pertinent scholarship.</w:t>
      </w:r>
    </w:p>
    <w:p w:rsidR="006C49C5" w:rsidRPr="00B23D0D" w:rsidRDefault="006C49C5" w:rsidP="008A621B">
      <w:pPr>
        <w:spacing w:after="120"/>
        <w:ind w:firstLine="720"/>
        <w:jc w:val="both"/>
        <w:rPr>
          <w:rFonts w:ascii="Times New Roman" w:hAnsi="Times New Roman" w:cs="Times New Roman"/>
          <w:sz w:val="28"/>
          <w:szCs w:val="28"/>
        </w:rPr>
      </w:pPr>
      <w:r w:rsidRPr="00B23D0D">
        <w:rPr>
          <w:rFonts w:ascii="Times New Roman" w:hAnsi="Times New Roman" w:cs="Times New Roman"/>
          <w:sz w:val="28"/>
          <w:szCs w:val="28"/>
        </w:rPr>
        <w:t>The methodology applied in this work is twofold: the first step consists in a careful philologica</w:t>
      </w:r>
      <w:r w:rsidR="00B23D0D" w:rsidRPr="00B23D0D">
        <w:rPr>
          <w:rFonts w:ascii="Times New Roman" w:hAnsi="Times New Roman" w:cs="Times New Roman"/>
          <w:sz w:val="28"/>
          <w:szCs w:val="28"/>
        </w:rPr>
        <w:t xml:space="preserve">l analysis </w:t>
      </w:r>
      <w:r w:rsidRPr="00B23D0D">
        <w:rPr>
          <w:rFonts w:ascii="Times New Roman" w:hAnsi="Times New Roman" w:cs="Times New Roman"/>
          <w:sz w:val="28"/>
          <w:szCs w:val="28"/>
        </w:rPr>
        <w:t xml:space="preserve">of the passages from the above-mentioned works which are of relevance for my research questions. I am particularly interested in Agrippa’s terminological choices and the meanings with which he loads the chosen terms, especially with regard to his sources of references, both synchronic and diachronic. In other words, I provide a comparative perspective by juxtaposing the texts I analyze with those that Agrippa drew on in his own search, ranging from the earliest (such as Plato’s) to the more or less contemporary texts (such as Ficino’s and </w:t>
      </w:r>
      <w:proofErr w:type="spellStart"/>
      <w:r w:rsidRPr="00B23D0D">
        <w:rPr>
          <w:rFonts w:ascii="Times New Roman" w:hAnsi="Times New Roman" w:cs="Times New Roman"/>
          <w:sz w:val="28"/>
          <w:szCs w:val="28"/>
        </w:rPr>
        <w:t>Lazzarelli’s</w:t>
      </w:r>
      <w:proofErr w:type="spellEnd"/>
      <w:r w:rsidRPr="00B23D0D">
        <w:rPr>
          <w:rFonts w:ascii="Times New Roman" w:hAnsi="Times New Roman" w:cs="Times New Roman"/>
          <w:sz w:val="28"/>
          <w:szCs w:val="28"/>
        </w:rPr>
        <w:t xml:space="preserve">). </w:t>
      </w:r>
    </w:p>
    <w:p w:rsidR="006C49C5" w:rsidRPr="00F45680" w:rsidRDefault="006C49C5"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lastRenderedPageBreak/>
        <w:t>The second step consists in developing an interpretation of Agrippa’s anthropological views based on the analyzed texts and within the conceptual fram</w:t>
      </w:r>
      <w:r w:rsidR="00F45680" w:rsidRPr="00F45680">
        <w:rPr>
          <w:rFonts w:ascii="Times New Roman" w:hAnsi="Times New Roman" w:cs="Times New Roman"/>
          <w:sz w:val="28"/>
          <w:szCs w:val="28"/>
        </w:rPr>
        <w:t>ework of the academic study of W</w:t>
      </w:r>
      <w:r w:rsidRPr="00F45680">
        <w:rPr>
          <w:rFonts w:ascii="Times New Roman" w:hAnsi="Times New Roman" w:cs="Times New Roman"/>
          <w:sz w:val="28"/>
          <w:szCs w:val="28"/>
        </w:rPr>
        <w:t xml:space="preserve">estern esotericism as a newly emerged branch of religious </w:t>
      </w:r>
      <w:r w:rsidR="00F45680" w:rsidRPr="00F45680">
        <w:rPr>
          <w:rFonts w:ascii="Times New Roman" w:hAnsi="Times New Roman" w:cs="Times New Roman"/>
          <w:sz w:val="28"/>
          <w:szCs w:val="28"/>
        </w:rPr>
        <w:t xml:space="preserve">studies. Finally, this leads </w:t>
      </w:r>
      <w:r w:rsidRPr="00F45680">
        <w:rPr>
          <w:rFonts w:ascii="Times New Roman" w:hAnsi="Times New Roman" w:cs="Times New Roman"/>
          <w:sz w:val="28"/>
          <w:szCs w:val="28"/>
        </w:rPr>
        <w:t>to an interpretation of Agrippa’s religious self-identification and the problem of his orthodoxy, which I address by proposing a polyvalent notion of piety and a tripartite model of Christianity.</w:t>
      </w:r>
    </w:p>
    <w:p w:rsidR="006C49C5" w:rsidRPr="00F45680" w:rsidRDefault="006C49C5"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t>Throughout</w:t>
      </w:r>
      <w:r w:rsidR="00F45680" w:rsidRPr="00F45680">
        <w:rPr>
          <w:rFonts w:ascii="Times New Roman" w:hAnsi="Times New Roman" w:cs="Times New Roman"/>
          <w:sz w:val="28"/>
          <w:szCs w:val="28"/>
        </w:rPr>
        <w:t xml:space="preserve"> my analysis I take into consideration</w:t>
      </w:r>
      <w:r w:rsidRPr="00F45680">
        <w:rPr>
          <w:rFonts w:ascii="Times New Roman" w:hAnsi="Times New Roman" w:cs="Times New Roman"/>
          <w:sz w:val="28"/>
          <w:szCs w:val="28"/>
        </w:rPr>
        <w:t xml:space="preserve"> what I call a “linguistic turn” in the present-day scholarship on Ag</w:t>
      </w:r>
      <w:r w:rsidR="00F45680" w:rsidRPr="00F45680">
        <w:rPr>
          <w:rFonts w:ascii="Times New Roman" w:hAnsi="Times New Roman" w:cs="Times New Roman"/>
          <w:sz w:val="28"/>
          <w:szCs w:val="28"/>
        </w:rPr>
        <w:t xml:space="preserve">rippa: </w:t>
      </w:r>
      <w:r w:rsidRPr="00F45680">
        <w:rPr>
          <w:rFonts w:ascii="Times New Roman" w:hAnsi="Times New Roman" w:cs="Times New Roman"/>
          <w:sz w:val="28"/>
          <w:szCs w:val="28"/>
        </w:rPr>
        <w:t>an increased awareness and recognition of his literary and r</w:t>
      </w:r>
      <w:r w:rsidR="00F45680" w:rsidRPr="00F45680">
        <w:rPr>
          <w:rFonts w:ascii="Times New Roman" w:hAnsi="Times New Roman" w:cs="Times New Roman"/>
          <w:sz w:val="28"/>
          <w:szCs w:val="28"/>
        </w:rPr>
        <w:t>hetorical strategies, especially</w:t>
      </w:r>
      <w:r w:rsidRPr="00F45680">
        <w:rPr>
          <w:rFonts w:ascii="Times New Roman" w:hAnsi="Times New Roman" w:cs="Times New Roman"/>
          <w:sz w:val="28"/>
          <w:szCs w:val="28"/>
        </w:rPr>
        <w:t xml:space="preserve"> his nuanced and intentionally ambiguous style of writing and argument</w:t>
      </w:r>
      <w:r w:rsidR="00F45680" w:rsidRPr="00F45680">
        <w:rPr>
          <w:rFonts w:ascii="Times New Roman" w:hAnsi="Times New Roman" w:cs="Times New Roman"/>
          <w:sz w:val="28"/>
          <w:szCs w:val="28"/>
        </w:rPr>
        <w:t xml:space="preserve">ation based on his </w:t>
      </w:r>
      <w:r w:rsidRPr="00F45680">
        <w:rPr>
          <w:rFonts w:ascii="Times New Roman" w:hAnsi="Times New Roman" w:cs="Times New Roman"/>
          <w:sz w:val="28"/>
          <w:szCs w:val="28"/>
        </w:rPr>
        <w:t>conviction that the true, inner knowledge should be concealed and protected from the unqualified or malevolent readers.</w:t>
      </w:r>
    </w:p>
    <w:p w:rsidR="006C49C5" w:rsidRPr="00F45680" w:rsidRDefault="006C49C5"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t>The main body of the dissertation is divided into five chapters. In Chapter One I provide a necessary historical introduction with an emphasis on those aspects of Agrippa’s life and writings that I examine more closely. In this chapter I also give a detailed overview of the relevant scholarship and discuss my own approach and methodology with regard to the main research questions. In Chapter Two I scrutinize the basic tenets of Agrippa’s cosmology and cosmogony with the idea that they are intrinsically linked to Agrippa’s views on man’s nature and his ontological status, in tune with the well-known Renaissance idea of the correspondence between the microcosm and the macrocosm. Chapters Three and Four form the core of my analysis of Agrippa’s anthropological ideas. In Chapter Three I argue that Agrippa articulated his views on man in two triads: that of soul, body, and spirit, and that of sensitive soul, rational so</w:t>
      </w:r>
      <w:r w:rsidR="00454987">
        <w:rPr>
          <w:rFonts w:ascii="Times New Roman" w:hAnsi="Times New Roman" w:cs="Times New Roman"/>
          <w:sz w:val="28"/>
          <w:szCs w:val="28"/>
        </w:rPr>
        <w:t xml:space="preserve">ul, and the mind. </w:t>
      </w:r>
      <w:r w:rsidRPr="00F45680">
        <w:rPr>
          <w:rFonts w:ascii="Times New Roman" w:hAnsi="Times New Roman" w:cs="Times New Roman"/>
          <w:sz w:val="28"/>
          <w:szCs w:val="28"/>
        </w:rPr>
        <w:t xml:space="preserve">I analyze each of the triads in the context of perceived tensions between the anthropological monism peculiar to the orthodox Christianity and the anthropological dualism more closely related to the Neoplatonic and Hermetic paradigms. In Chapter Four I apply the results of my analysis to Agrippa’s magical theory with the idea of elucidating the mechanisms lying behind different types of magic. I argue that his magical theory is intrinsically tied to his religious self-identification. Finally, in Chapter Five I examine Agrippa’s ideas on man’s fall and salvation, mostly on the basis on his treatises </w:t>
      </w:r>
      <w:r w:rsidRPr="00F45680">
        <w:rPr>
          <w:rFonts w:ascii="Times New Roman" w:hAnsi="Times New Roman" w:cs="Times New Roman"/>
          <w:i/>
          <w:sz w:val="28"/>
          <w:szCs w:val="28"/>
        </w:rPr>
        <w:t xml:space="preserve">De </w:t>
      </w:r>
      <w:proofErr w:type="spellStart"/>
      <w:r w:rsidRPr="00F45680">
        <w:rPr>
          <w:rFonts w:ascii="Times New Roman" w:hAnsi="Times New Roman" w:cs="Times New Roman"/>
          <w:i/>
          <w:sz w:val="28"/>
          <w:szCs w:val="28"/>
        </w:rPr>
        <w:t>triplici</w:t>
      </w:r>
      <w:proofErr w:type="spellEnd"/>
      <w:r w:rsidRPr="00F45680">
        <w:rPr>
          <w:rFonts w:ascii="Times New Roman" w:hAnsi="Times New Roman" w:cs="Times New Roman"/>
          <w:i/>
          <w:sz w:val="28"/>
          <w:szCs w:val="28"/>
        </w:rPr>
        <w:t xml:space="preserve"> </w:t>
      </w:r>
      <w:proofErr w:type="spellStart"/>
      <w:r w:rsidRPr="00F45680">
        <w:rPr>
          <w:rFonts w:ascii="Times New Roman" w:hAnsi="Times New Roman" w:cs="Times New Roman"/>
          <w:i/>
          <w:sz w:val="28"/>
          <w:szCs w:val="28"/>
        </w:rPr>
        <w:t>ratione</w:t>
      </w:r>
      <w:proofErr w:type="spellEnd"/>
      <w:r w:rsidRPr="00F45680">
        <w:rPr>
          <w:rFonts w:ascii="Times New Roman" w:hAnsi="Times New Roman" w:cs="Times New Roman"/>
          <w:i/>
          <w:sz w:val="28"/>
          <w:szCs w:val="28"/>
        </w:rPr>
        <w:t xml:space="preserve"> </w:t>
      </w:r>
      <w:proofErr w:type="spellStart"/>
      <w:r w:rsidRPr="00F45680">
        <w:rPr>
          <w:rFonts w:ascii="Times New Roman" w:hAnsi="Times New Roman" w:cs="Times New Roman"/>
          <w:i/>
          <w:sz w:val="28"/>
          <w:szCs w:val="28"/>
        </w:rPr>
        <w:t>cognoscendi</w:t>
      </w:r>
      <w:proofErr w:type="spellEnd"/>
      <w:r w:rsidRPr="00F45680">
        <w:rPr>
          <w:rFonts w:ascii="Times New Roman" w:hAnsi="Times New Roman" w:cs="Times New Roman"/>
          <w:i/>
          <w:sz w:val="28"/>
          <w:szCs w:val="28"/>
        </w:rPr>
        <w:t xml:space="preserve"> Deum</w:t>
      </w:r>
      <w:r w:rsidRPr="00F45680">
        <w:rPr>
          <w:rFonts w:ascii="Times New Roman" w:hAnsi="Times New Roman" w:cs="Times New Roman"/>
          <w:sz w:val="28"/>
          <w:szCs w:val="28"/>
        </w:rPr>
        <w:t xml:space="preserve"> and </w:t>
      </w:r>
      <w:r w:rsidRPr="00F45680">
        <w:rPr>
          <w:rFonts w:ascii="Times New Roman" w:hAnsi="Times New Roman" w:cs="Times New Roman"/>
          <w:i/>
          <w:sz w:val="28"/>
          <w:szCs w:val="28"/>
        </w:rPr>
        <w:t xml:space="preserve">De </w:t>
      </w:r>
      <w:proofErr w:type="spellStart"/>
      <w:r w:rsidRPr="00F45680">
        <w:rPr>
          <w:rFonts w:ascii="Times New Roman" w:hAnsi="Times New Roman" w:cs="Times New Roman"/>
          <w:i/>
          <w:sz w:val="28"/>
          <w:szCs w:val="28"/>
        </w:rPr>
        <w:t>originali</w:t>
      </w:r>
      <w:proofErr w:type="spellEnd"/>
      <w:r w:rsidRPr="00F45680">
        <w:rPr>
          <w:rFonts w:ascii="Times New Roman" w:hAnsi="Times New Roman" w:cs="Times New Roman"/>
          <w:i/>
          <w:sz w:val="28"/>
          <w:szCs w:val="28"/>
        </w:rPr>
        <w:t xml:space="preserve"> </w:t>
      </w:r>
      <w:proofErr w:type="spellStart"/>
      <w:r w:rsidRPr="00F45680">
        <w:rPr>
          <w:rFonts w:ascii="Times New Roman" w:hAnsi="Times New Roman" w:cs="Times New Roman"/>
          <w:i/>
          <w:sz w:val="28"/>
          <w:szCs w:val="28"/>
        </w:rPr>
        <w:t>peccato</w:t>
      </w:r>
      <w:proofErr w:type="spellEnd"/>
      <w:r w:rsidRPr="00F45680">
        <w:rPr>
          <w:rFonts w:ascii="Times New Roman" w:hAnsi="Times New Roman" w:cs="Times New Roman"/>
          <w:sz w:val="28"/>
          <w:szCs w:val="28"/>
        </w:rPr>
        <w:t>. In my analysis of the latter, which is Agrippa’s only extant exegetical work, I demonstrate how the German humanist interpreted the Biblical account of the fall in the predominantly Hermetic conceptual framework. In the end, I use the results of my analysis to focus on the problem of Agrippa’s religious self-identification and offer a new interpretation of the tense coexistence between the two sides of his eclectic thought.</w:t>
      </w:r>
    </w:p>
    <w:p w:rsidR="006C49C5" w:rsidRPr="00F45680" w:rsidRDefault="006C49C5" w:rsidP="008A621B">
      <w:pPr>
        <w:spacing w:after="0"/>
        <w:ind w:firstLine="720"/>
        <w:jc w:val="both"/>
        <w:rPr>
          <w:rFonts w:ascii="Times New Roman" w:hAnsi="Times New Roman" w:cs="Times New Roman"/>
          <w:sz w:val="28"/>
          <w:szCs w:val="28"/>
        </w:rPr>
      </w:pPr>
      <w:r w:rsidRPr="00F45680">
        <w:rPr>
          <w:rFonts w:ascii="Times New Roman" w:hAnsi="Times New Roman" w:cs="Times New Roman"/>
          <w:sz w:val="28"/>
          <w:szCs w:val="28"/>
        </w:rPr>
        <w:t>Based on my examination, I come to the fol</w:t>
      </w:r>
      <w:r w:rsidR="00F45680">
        <w:rPr>
          <w:rFonts w:ascii="Times New Roman" w:hAnsi="Times New Roman" w:cs="Times New Roman"/>
          <w:sz w:val="28"/>
          <w:szCs w:val="28"/>
        </w:rPr>
        <w:t>lowing conclusions, which are</w:t>
      </w:r>
      <w:r w:rsidRPr="00F45680">
        <w:rPr>
          <w:rFonts w:ascii="Times New Roman" w:hAnsi="Times New Roman" w:cs="Times New Roman"/>
          <w:sz w:val="28"/>
          <w:szCs w:val="28"/>
        </w:rPr>
        <w:t xml:space="preserve"> here </w:t>
      </w:r>
      <w:r w:rsidR="00F45680">
        <w:rPr>
          <w:rFonts w:ascii="Times New Roman" w:hAnsi="Times New Roman" w:cs="Times New Roman"/>
          <w:sz w:val="28"/>
          <w:szCs w:val="28"/>
        </w:rPr>
        <w:t xml:space="preserve">delineated </w:t>
      </w:r>
      <w:r w:rsidRPr="00F45680">
        <w:rPr>
          <w:rFonts w:ascii="Times New Roman" w:hAnsi="Times New Roman" w:cs="Times New Roman"/>
          <w:sz w:val="28"/>
          <w:szCs w:val="28"/>
        </w:rPr>
        <w:t xml:space="preserve">in a </w:t>
      </w:r>
      <w:r w:rsidR="00F45680">
        <w:rPr>
          <w:rFonts w:ascii="Times New Roman" w:hAnsi="Times New Roman" w:cs="Times New Roman"/>
          <w:sz w:val="28"/>
          <w:szCs w:val="28"/>
        </w:rPr>
        <w:t xml:space="preserve">necessarily </w:t>
      </w:r>
      <w:r w:rsidRPr="00F45680">
        <w:rPr>
          <w:rFonts w:ascii="Times New Roman" w:hAnsi="Times New Roman" w:cs="Times New Roman"/>
          <w:sz w:val="28"/>
          <w:szCs w:val="28"/>
        </w:rPr>
        <w:t>simplified form:</w:t>
      </w:r>
    </w:p>
    <w:p w:rsidR="006C49C5" w:rsidRPr="00F45680" w:rsidRDefault="00F45680"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t>1.</w:t>
      </w:r>
      <w:r w:rsidRPr="00F45680">
        <w:rPr>
          <w:rFonts w:ascii="Times New Roman" w:hAnsi="Times New Roman" w:cs="Times New Roman"/>
          <w:b/>
          <w:sz w:val="28"/>
          <w:szCs w:val="28"/>
        </w:rPr>
        <w:t xml:space="preserve"> </w:t>
      </w:r>
      <w:r w:rsidR="006C49C5" w:rsidRPr="00F45680">
        <w:rPr>
          <w:rFonts w:ascii="Times New Roman" w:hAnsi="Times New Roman" w:cs="Times New Roman"/>
          <w:sz w:val="28"/>
          <w:szCs w:val="28"/>
        </w:rPr>
        <w:t xml:space="preserve">Agrippa’s views on man, his origin, ontology, and eschatology are crucially determined by the Neoplatonic and Hermetic paradigms, which are based on </w:t>
      </w:r>
      <w:r w:rsidR="006C49C5" w:rsidRPr="00F45680">
        <w:rPr>
          <w:rFonts w:ascii="Times New Roman" w:hAnsi="Times New Roman" w:cs="Times New Roman"/>
          <w:sz w:val="28"/>
          <w:szCs w:val="28"/>
        </w:rPr>
        <w:lastRenderedPageBreak/>
        <w:t xml:space="preserve">anthropological dualism. Man’s true identity is in the transcendental realm, where he coexists with God as an immortal, spiritual entity partaking of the divine virtues and powers. In other words, man is not different from the divine mind or </w:t>
      </w:r>
      <w:proofErr w:type="spellStart"/>
      <w:r w:rsidR="006C49C5" w:rsidRPr="00F45680">
        <w:rPr>
          <w:rFonts w:ascii="Times New Roman" w:hAnsi="Times New Roman" w:cs="Times New Roman"/>
          <w:i/>
          <w:sz w:val="28"/>
          <w:szCs w:val="28"/>
        </w:rPr>
        <w:t>mens</w:t>
      </w:r>
      <w:proofErr w:type="spellEnd"/>
      <w:r w:rsidR="006C49C5" w:rsidRPr="00F45680">
        <w:rPr>
          <w:rFonts w:ascii="Times New Roman" w:hAnsi="Times New Roman" w:cs="Times New Roman"/>
          <w:sz w:val="28"/>
          <w:szCs w:val="28"/>
        </w:rPr>
        <w:t>. Alternately, Agrippa calls him the “inner” or the “essential” man.</w:t>
      </w:r>
    </w:p>
    <w:p w:rsidR="006C49C5" w:rsidRPr="00F45680" w:rsidRDefault="006C49C5"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t xml:space="preserve">2. The fall of man, which appears to coincide with the emanation of the created world, takes place as the emanation of the mind itself: within the created world, it projects itself into the celestial </w:t>
      </w:r>
      <w:r w:rsidRPr="00F45680">
        <w:rPr>
          <w:rFonts w:ascii="Times New Roman" w:hAnsi="Times New Roman" w:cs="Times New Roman"/>
          <w:i/>
          <w:sz w:val="28"/>
          <w:szCs w:val="28"/>
        </w:rPr>
        <w:t>ratio</w:t>
      </w:r>
      <w:r w:rsidRPr="00F45680">
        <w:rPr>
          <w:rFonts w:ascii="Times New Roman" w:hAnsi="Times New Roman" w:cs="Times New Roman"/>
          <w:sz w:val="28"/>
          <w:szCs w:val="28"/>
        </w:rPr>
        <w:t xml:space="preserve"> (or the rational soul) and the semi-earthly </w:t>
      </w:r>
      <w:r w:rsidRPr="00F45680">
        <w:rPr>
          <w:rFonts w:ascii="Times New Roman" w:hAnsi="Times New Roman" w:cs="Times New Roman"/>
          <w:i/>
          <w:sz w:val="28"/>
          <w:szCs w:val="28"/>
        </w:rPr>
        <w:t>idolum</w:t>
      </w:r>
      <w:r w:rsidRPr="00F45680">
        <w:rPr>
          <w:rFonts w:ascii="Times New Roman" w:hAnsi="Times New Roman" w:cs="Times New Roman"/>
          <w:sz w:val="28"/>
          <w:szCs w:val="28"/>
        </w:rPr>
        <w:t xml:space="preserve"> (or the sensitive soul). Whereas </w:t>
      </w:r>
      <w:proofErr w:type="spellStart"/>
      <w:r w:rsidRPr="00F45680">
        <w:rPr>
          <w:rFonts w:ascii="Times New Roman" w:hAnsi="Times New Roman" w:cs="Times New Roman"/>
          <w:i/>
          <w:sz w:val="28"/>
          <w:szCs w:val="28"/>
        </w:rPr>
        <w:t>mens</w:t>
      </w:r>
      <w:proofErr w:type="spellEnd"/>
      <w:r w:rsidRPr="00F45680">
        <w:rPr>
          <w:rFonts w:ascii="Times New Roman" w:hAnsi="Times New Roman" w:cs="Times New Roman"/>
          <w:sz w:val="28"/>
          <w:szCs w:val="28"/>
        </w:rPr>
        <w:t xml:space="preserve"> remains in the transcendental realm, </w:t>
      </w:r>
      <w:r w:rsidRPr="00F45680">
        <w:rPr>
          <w:rFonts w:ascii="Times New Roman" w:hAnsi="Times New Roman" w:cs="Times New Roman"/>
          <w:i/>
          <w:sz w:val="28"/>
          <w:szCs w:val="28"/>
        </w:rPr>
        <w:t>ratio</w:t>
      </w:r>
      <w:r w:rsidRPr="00F45680">
        <w:rPr>
          <w:rFonts w:ascii="Times New Roman" w:hAnsi="Times New Roman" w:cs="Times New Roman"/>
          <w:sz w:val="28"/>
          <w:szCs w:val="28"/>
        </w:rPr>
        <w:t xml:space="preserve"> and </w:t>
      </w:r>
      <w:r w:rsidRPr="00F45680">
        <w:rPr>
          <w:rFonts w:ascii="Times New Roman" w:hAnsi="Times New Roman" w:cs="Times New Roman"/>
          <w:i/>
          <w:sz w:val="28"/>
          <w:szCs w:val="28"/>
        </w:rPr>
        <w:t>idolum</w:t>
      </w:r>
      <w:r w:rsidRPr="00F45680">
        <w:rPr>
          <w:rFonts w:ascii="Times New Roman" w:hAnsi="Times New Roman" w:cs="Times New Roman"/>
          <w:sz w:val="28"/>
          <w:szCs w:val="28"/>
        </w:rPr>
        <w:t xml:space="preserve"> are joined to the physical body and thus form the earthly man, unaware of his transcendental origin. Agrippa calls him the “external” man.</w:t>
      </w:r>
    </w:p>
    <w:p w:rsidR="006C49C5" w:rsidRPr="00F45680" w:rsidRDefault="006C49C5" w:rsidP="008A621B">
      <w:pPr>
        <w:spacing w:after="120"/>
        <w:ind w:firstLine="720"/>
        <w:jc w:val="both"/>
        <w:rPr>
          <w:rFonts w:ascii="Times New Roman" w:hAnsi="Times New Roman" w:cs="Times New Roman"/>
          <w:sz w:val="28"/>
          <w:szCs w:val="28"/>
        </w:rPr>
      </w:pPr>
      <w:r w:rsidRPr="00F45680">
        <w:rPr>
          <w:rFonts w:ascii="Times New Roman" w:hAnsi="Times New Roman" w:cs="Times New Roman"/>
          <w:sz w:val="28"/>
          <w:szCs w:val="28"/>
        </w:rPr>
        <w:t xml:space="preserve">3. This scheme gives Agrippa the grounds for defining the nature of spiritual ascension: it means nothing else but the reverse process, whereby </w:t>
      </w:r>
      <w:r w:rsidRPr="00F45680">
        <w:rPr>
          <w:rFonts w:ascii="Times New Roman" w:hAnsi="Times New Roman" w:cs="Times New Roman"/>
          <w:i/>
          <w:sz w:val="28"/>
          <w:szCs w:val="28"/>
        </w:rPr>
        <w:t>ratio</w:t>
      </w:r>
      <w:r w:rsidRPr="00F45680">
        <w:rPr>
          <w:rFonts w:ascii="Times New Roman" w:hAnsi="Times New Roman" w:cs="Times New Roman"/>
          <w:sz w:val="28"/>
          <w:szCs w:val="28"/>
        </w:rPr>
        <w:t xml:space="preserve"> and </w:t>
      </w:r>
      <w:r w:rsidRPr="00F45680">
        <w:rPr>
          <w:rFonts w:ascii="Times New Roman" w:hAnsi="Times New Roman" w:cs="Times New Roman"/>
          <w:i/>
          <w:sz w:val="28"/>
          <w:szCs w:val="28"/>
        </w:rPr>
        <w:t xml:space="preserve">idolum </w:t>
      </w:r>
      <w:r w:rsidRPr="00F45680">
        <w:rPr>
          <w:rFonts w:ascii="Times New Roman" w:hAnsi="Times New Roman" w:cs="Times New Roman"/>
          <w:sz w:val="28"/>
          <w:szCs w:val="28"/>
        </w:rPr>
        <w:t xml:space="preserve">are united to the divine </w:t>
      </w:r>
      <w:proofErr w:type="spellStart"/>
      <w:r w:rsidRPr="00F45680">
        <w:rPr>
          <w:rFonts w:ascii="Times New Roman" w:hAnsi="Times New Roman" w:cs="Times New Roman"/>
          <w:i/>
          <w:sz w:val="28"/>
          <w:szCs w:val="28"/>
        </w:rPr>
        <w:t>mens</w:t>
      </w:r>
      <w:proofErr w:type="spellEnd"/>
      <w:r w:rsidRPr="00F45680">
        <w:rPr>
          <w:rFonts w:ascii="Times New Roman" w:hAnsi="Times New Roman" w:cs="Times New Roman"/>
          <w:sz w:val="28"/>
          <w:szCs w:val="28"/>
        </w:rPr>
        <w:t xml:space="preserve"> and thus to God himself. Adopting the formulation from the </w:t>
      </w:r>
      <w:r w:rsidRPr="00F45680">
        <w:rPr>
          <w:rFonts w:ascii="Times New Roman" w:hAnsi="Times New Roman" w:cs="Times New Roman"/>
          <w:i/>
          <w:sz w:val="28"/>
          <w:szCs w:val="28"/>
        </w:rPr>
        <w:t xml:space="preserve">Corpus </w:t>
      </w:r>
      <w:proofErr w:type="spellStart"/>
      <w:r w:rsidRPr="00F45680">
        <w:rPr>
          <w:rFonts w:ascii="Times New Roman" w:hAnsi="Times New Roman" w:cs="Times New Roman"/>
          <w:i/>
          <w:sz w:val="28"/>
          <w:szCs w:val="28"/>
        </w:rPr>
        <w:t>Hermeticum</w:t>
      </w:r>
      <w:proofErr w:type="spellEnd"/>
      <w:r w:rsidRPr="00F45680">
        <w:rPr>
          <w:rFonts w:ascii="Times New Roman" w:hAnsi="Times New Roman" w:cs="Times New Roman"/>
          <w:sz w:val="28"/>
          <w:szCs w:val="28"/>
        </w:rPr>
        <w:t>, Agrippa refers to it as the process of obtaining the mind (</w:t>
      </w:r>
      <w:proofErr w:type="spellStart"/>
      <w:r w:rsidRPr="00F45680">
        <w:rPr>
          <w:rFonts w:ascii="Times New Roman" w:hAnsi="Times New Roman" w:cs="Times New Roman"/>
          <w:i/>
          <w:sz w:val="28"/>
          <w:szCs w:val="28"/>
        </w:rPr>
        <w:t>obtinere</w:t>
      </w:r>
      <w:proofErr w:type="spellEnd"/>
      <w:r w:rsidRPr="00F45680">
        <w:rPr>
          <w:rFonts w:ascii="Times New Roman" w:hAnsi="Times New Roman" w:cs="Times New Roman"/>
          <w:i/>
          <w:sz w:val="28"/>
          <w:szCs w:val="28"/>
        </w:rPr>
        <w:t xml:space="preserve"> </w:t>
      </w:r>
      <w:proofErr w:type="spellStart"/>
      <w:r w:rsidRPr="00F45680">
        <w:rPr>
          <w:rFonts w:ascii="Times New Roman" w:hAnsi="Times New Roman" w:cs="Times New Roman"/>
          <w:i/>
          <w:sz w:val="28"/>
          <w:szCs w:val="28"/>
        </w:rPr>
        <w:t>mentem</w:t>
      </w:r>
      <w:proofErr w:type="spellEnd"/>
      <w:r w:rsidRPr="00F45680">
        <w:rPr>
          <w:rFonts w:ascii="Times New Roman" w:hAnsi="Times New Roman" w:cs="Times New Roman"/>
          <w:sz w:val="28"/>
          <w:szCs w:val="28"/>
        </w:rPr>
        <w:t xml:space="preserve">). Through this process, man regains his </w:t>
      </w:r>
      <w:proofErr w:type="spellStart"/>
      <w:r w:rsidRPr="00F45680">
        <w:rPr>
          <w:rFonts w:ascii="Times New Roman" w:hAnsi="Times New Roman" w:cs="Times New Roman"/>
          <w:sz w:val="28"/>
          <w:szCs w:val="28"/>
        </w:rPr>
        <w:t>prelapsarian</w:t>
      </w:r>
      <w:proofErr w:type="spellEnd"/>
      <w:r w:rsidRPr="00F45680">
        <w:rPr>
          <w:rFonts w:ascii="Times New Roman" w:hAnsi="Times New Roman" w:cs="Times New Roman"/>
          <w:sz w:val="28"/>
          <w:szCs w:val="28"/>
        </w:rPr>
        <w:t xml:space="preserve"> sta</w:t>
      </w:r>
      <w:r w:rsidR="00AC0D3F">
        <w:rPr>
          <w:rFonts w:ascii="Times New Roman" w:hAnsi="Times New Roman" w:cs="Times New Roman"/>
          <w:sz w:val="28"/>
          <w:szCs w:val="28"/>
        </w:rPr>
        <w:t>te</w:t>
      </w:r>
      <w:r w:rsidRPr="00F45680">
        <w:rPr>
          <w:rFonts w:ascii="Times New Roman" w:hAnsi="Times New Roman" w:cs="Times New Roman"/>
          <w:sz w:val="28"/>
          <w:szCs w:val="28"/>
        </w:rPr>
        <w:t xml:space="preserve"> along with his lost divine powers. However, the process also requires the abandonment of the physical body, which is seen in the traditional dualist perspective, that is, as a </w:t>
      </w:r>
      <w:proofErr w:type="spellStart"/>
      <w:r w:rsidRPr="00F45680">
        <w:rPr>
          <w:rFonts w:ascii="Times New Roman" w:hAnsi="Times New Roman" w:cs="Times New Roman"/>
          <w:i/>
          <w:sz w:val="28"/>
          <w:szCs w:val="28"/>
        </w:rPr>
        <w:t>carcer</w:t>
      </w:r>
      <w:proofErr w:type="spellEnd"/>
      <w:r w:rsidRPr="00F45680">
        <w:rPr>
          <w:rFonts w:ascii="Times New Roman" w:hAnsi="Times New Roman" w:cs="Times New Roman"/>
          <w:i/>
          <w:sz w:val="28"/>
          <w:szCs w:val="28"/>
        </w:rPr>
        <w:t xml:space="preserve"> animi</w:t>
      </w:r>
      <w:r w:rsidRPr="00F45680">
        <w:rPr>
          <w:rFonts w:ascii="Times New Roman" w:hAnsi="Times New Roman" w:cs="Times New Roman"/>
          <w:sz w:val="28"/>
          <w:szCs w:val="28"/>
        </w:rPr>
        <w:t xml:space="preserve"> or </w:t>
      </w:r>
      <w:proofErr w:type="spellStart"/>
      <w:r w:rsidRPr="00F45680">
        <w:rPr>
          <w:rFonts w:ascii="Times New Roman" w:hAnsi="Times New Roman" w:cs="Times New Roman"/>
          <w:i/>
          <w:sz w:val="28"/>
          <w:szCs w:val="28"/>
        </w:rPr>
        <w:t>s</w:t>
      </w:r>
      <w:r w:rsidR="00AC0D3F">
        <w:rPr>
          <w:rFonts w:ascii="Times New Roman" w:hAnsi="Times New Roman" w:cs="Times New Roman"/>
          <w:i/>
          <w:sz w:val="28"/>
          <w:szCs w:val="28"/>
        </w:rPr>
        <w:t>ōma</w:t>
      </w:r>
      <w:proofErr w:type="spellEnd"/>
      <w:r w:rsidR="00AC0D3F">
        <w:rPr>
          <w:rFonts w:ascii="Times New Roman" w:hAnsi="Times New Roman" w:cs="Times New Roman"/>
          <w:i/>
          <w:sz w:val="28"/>
          <w:szCs w:val="28"/>
        </w:rPr>
        <w:t xml:space="preserve"> </w:t>
      </w:r>
      <w:proofErr w:type="spellStart"/>
      <w:r w:rsidR="00AC0D3F">
        <w:rPr>
          <w:rFonts w:ascii="Times New Roman" w:hAnsi="Times New Roman" w:cs="Times New Roman"/>
          <w:i/>
          <w:sz w:val="28"/>
          <w:szCs w:val="28"/>
        </w:rPr>
        <w:t>sē</w:t>
      </w:r>
      <w:r w:rsidRPr="00F45680">
        <w:rPr>
          <w:rFonts w:ascii="Times New Roman" w:hAnsi="Times New Roman" w:cs="Times New Roman"/>
          <w:i/>
          <w:sz w:val="28"/>
          <w:szCs w:val="28"/>
        </w:rPr>
        <w:t>ma</w:t>
      </w:r>
      <w:proofErr w:type="spellEnd"/>
      <w:r w:rsidRPr="00F45680">
        <w:rPr>
          <w:rFonts w:ascii="Times New Roman" w:hAnsi="Times New Roman" w:cs="Times New Roman"/>
          <w:sz w:val="28"/>
          <w:szCs w:val="28"/>
        </w:rPr>
        <w:t>.</w:t>
      </w:r>
    </w:p>
    <w:p w:rsidR="006C49C5" w:rsidRPr="00D62771" w:rsidRDefault="006C49C5" w:rsidP="008A621B">
      <w:pPr>
        <w:spacing w:after="120"/>
        <w:ind w:firstLine="720"/>
        <w:jc w:val="both"/>
        <w:rPr>
          <w:rFonts w:ascii="Times New Roman" w:hAnsi="Times New Roman" w:cs="Times New Roman"/>
          <w:sz w:val="28"/>
          <w:szCs w:val="28"/>
        </w:rPr>
      </w:pPr>
      <w:r w:rsidRPr="00D62771">
        <w:rPr>
          <w:rFonts w:ascii="Times New Roman" w:hAnsi="Times New Roman" w:cs="Times New Roman"/>
          <w:sz w:val="28"/>
          <w:szCs w:val="28"/>
        </w:rPr>
        <w:t>4. Such a view on man is evidently incompatible with Christian anthropology as first theologically articulated by the apostle Paul. Thus, perhaps the only way to account for Agrippa’s self-proclaimed orthodoxy is to conclude that he construed Christianity in ways radi</w:t>
      </w:r>
      <w:r w:rsidR="00D62771">
        <w:rPr>
          <w:rFonts w:ascii="Times New Roman" w:hAnsi="Times New Roman" w:cs="Times New Roman"/>
          <w:sz w:val="28"/>
          <w:szCs w:val="28"/>
        </w:rPr>
        <w:t>cally different from the theological benchmark</w:t>
      </w:r>
      <w:r w:rsidR="00312A62">
        <w:rPr>
          <w:rFonts w:ascii="Times New Roman" w:hAnsi="Times New Roman" w:cs="Times New Roman"/>
          <w:sz w:val="28"/>
          <w:szCs w:val="28"/>
        </w:rPr>
        <w:t xml:space="preserve"> of the Church</w:t>
      </w:r>
      <w:r w:rsidRPr="00D62771">
        <w:rPr>
          <w:rFonts w:ascii="Times New Roman" w:hAnsi="Times New Roman" w:cs="Times New Roman"/>
          <w:sz w:val="28"/>
          <w:szCs w:val="28"/>
        </w:rPr>
        <w:t>. In my view, he conflated the Hermetic and Christian notions of piety and developed a nuanced, polyvalent view on Christian</w:t>
      </w:r>
      <w:r w:rsidR="0089387A">
        <w:rPr>
          <w:rFonts w:ascii="Times New Roman" w:hAnsi="Times New Roman" w:cs="Times New Roman"/>
          <w:sz w:val="28"/>
          <w:szCs w:val="28"/>
        </w:rPr>
        <w:t>ity, based on the primacy of gno</w:t>
      </w:r>
      <w:r w:rsidRPr="00D62771">
        <w:rPr>
          <w:rFonts w:ascii="Times New Roman" w:hAnsi="Times New Roman" w:cs="Times New Roman"/>
          <w:sz w:val="28"/>
          <w:szCs w:val="28"/>
        </w:rPr>
        <w:t xml:space="preserve">sis, or direct personal revelation, which transcends the boundaries of religious traditions and ultimately abandons the exclusivity of the Christian religion itself. Along the lines of </w:t>
      </w:r>
      <w:proofErr w:type="spellStart"/>
      <w:r w:rsidRPr="00D62771">
        <w:rPr>
          <w:rFonts w:ascii="Times New Roman" w:hAnsi="Times New Roman" w:cs="Times New Roman"/>
          <w:sz w:val="28"/>
          <w:szCs w:val="28"/>
        </w:rPr>
        <w:t>Marsilio</w:t>
      </w:r>
      <w:proofErr w:type="spellEnd"/>
      <w:r w:rsidRPr="00D62771">
        <w:rPr>
          <w:rFonts w:ascii="Times New Roman" w:hAnsi="Times New Roman" w:cs="Times New Roman"/>
          <w:sz w:val="28"/>
          <w:szCs w:val="28"/>
        </w:rPr>
        <w:t xml:space="preserve"> Ficino’s </w:t>
      </w:r>
      <w:proofErr w:type="spellStart"/>
      <w:r w:rsidRPr="00D62771">
        <w:rPr>
          <w:rFonts w:ascii="Times New Roman" w:hAnsi="Times New Roman" w:cs="Times New Roman"/>
          <w:i/>
          <w:sz w:val="28"/>
          <w:szCs w:val="28"/>
        </w:rPr>
        <w:t>prisca</w:t>
      </w:r>
      <w:proofErr w:type="spellEnd"/>
      <w:r w:rsidRPr="00D62771">
        <w:rPr>
          <w:rFonts w:ascii="Times New Roman" w:hAnsi="Times New Roman" w:cs="Times New Roman"/>
          <w:i/>
          <w:sz w:val="28"/>
          <w:szCs w:val="28"/>
        </w:rPr>
        <w:t xml:space="preserve"> </w:t>
      </w:r>
      <w:proofErr w:type="spellStart"/>
      <w:r w:rsidRPr="00D62771">
        <w:rPr>
          <w:rFonts w:ascii="Times New Roman" w:hAnsi="Times New Roman" w:cs="Times New Roman"/>
          <w:i/>
          <w:sz w:val="28"/>
          <w:szCs w:val="28"/>
        </w:rPr>
        <w:t>theologia</w:t>
      </w:r>
      <w:proofErr w:type="spellEnd"/>
      <w:r w:rsidRPr="00D62771">
        <w:rPr>
          <w:rFonts w:ascii="Times New Roman" w:hAnsi="Times New Roman" w:cs="Times New Roman"/>
          <w:sz w:val="28"/>
          <w:szCs w:val="28"/>
        </w:rPr>
        <w:t>, Agrippa attempted to build, promote, and defend the heterodox notion o</w:t>
      </w:r>
      <w:r w:rsidR="008A621B">
        <w:rPr>
          <w:rFonts w:ascii="Times New Roman" w:hAnsi="Times New Roman" w:cs="Times New Roman"/>
          <w:sz w:val="28"/>
          <w:szCs w:val="28"/>
        </w:rPr>
        <w:t>f a “pious Christian magician.”</w:t>
      </w:r>
    </w:p>
    <w:p w:rsidR="006C49C5" w:rsidRPr="00D62771" w:rsidRDefault="00083B94" w:rsidP="006C49C5">
      <w:pPr>
        <w:ind w:firstLine="720"/>
        <w:jc w:val="both"/>
        <w:rPr>
          <w:rFonts w:ascii="Times New Roman" w:hAnsi="Times New Roman" w:cs="Times New Roman"/>
          <w:sz w:val="28"/>
          <w:szCs w:val="28"/>
        </w:rPr>
      </w:pPr>
      <w:r>
        <w:rPr>
          <w:rFonts w:ascii="Times New Roman" w:hAnsi="Times New Roman" w:cs="Times New Roman"/>
          <w:sz w:val="28"/>
          <w:szCs w:val="28"/>
        </w:rPr>
        <w:t>Based on the</w:t>
      </w:r>
      <w:r w:rsidR="00B67664">
        <w:rPr>
          <w:rFonts w:ascii="Times New Roman" w:hAnsi="Times New Roman" w:cs="Times New Roman"/>
          <w:sz w:val="28"/>
          <w:szCs w:val="28"/>
        </w:rPr>
        <w:t xml:space="preserve"> </w:t>
      </w:r>
      <w:r>
        <w:rPr>
          <w:rFonts w:ascii="Times New Roman" w:hAnsi="Times New Roman" w:cs="Times New Roman"/>
          <w:sz w:val="28"/>
          <w:szCs w:val="28"/>
        </w:rPr>
        <w:t xml:space="preserve">standpoint </w:t>
      </w:r>
      <w:r w:rsidR="00B67664">
        <w:rPr>
          <w:rFonts w:ascii="Times New Roman" w:hAnsi="Times New Roman" w:cs="Times New Roman"/>
          <w:sz w:val="28"/>
          <w:szCs w:val="28"/>
        </w:rPr>
        <w:t>that anthropo</w:t>
      </w:r>
      <w:r>
        <w:rPr>
          <w:rFonts w:ascii="Times New Roman" w:hAnsi="Times New Roman" w:cs="Times New Roman"/>
          <w:sz w:val="28"/>
          <w:szCs w:val="28"/>
        </w:rPr>
        <w:t>logy can serve</w:t>
      </w:r>
      <w:r w:rsidR="00B67664">
        <w:rPr>
          <w:rFonts w:ascii="Times New Roman" w:hAnsi="Times New Roman" w:cs="Times New Roman"/>
          <w:sz w:val="28"/>
          <w:szCs w:val="28"/>
        </w:rPr>
        <w:t xml:space="preserve"> as</w:t>
      </w:r>
      <w:r w:rsidR="00B67664" w:rsidRPr="00D62771">
        <w:rPr>
          <w:rFonts w:ascii="Times New Roman" w:hAnsi="Times New Roman" w:cs="Times New Roman"/>
          <w:sz w:val="28"/>
          <w:szCs w:val="28"/>
        </w:rPr>
        <w:t xml:space="preserve"> one of the best litmus tests for determining one’s spiritual allegiance</w:t>
      </w:r>
      <w:r>
        <w:rPr>
          <w:rFonts w:ascii="Times New Roman" w:hAnsi="Times New Roman" w:cs="Times New Roman"/>
          <w:sz w:val="28"/>
          <w:szCs w:val="28"/>
        </w:rPr>
        <w:t>, my</w:t>
      </w:r>
      <w:r w:rsidR="006C49C5" w:rsidRPr="00D62771">
        <w:rPr>
          <w:rFonts w:ascii="Times New Roman" w:hAnsi="Times New Roman" w:cs="Times New Roman"/>
          <w:sz w:val="28"/>
          <w:szCs w:val="28"/>
        </w:rPr>
        <w:t xml:space="preserve"> main c</w:t>
      </w:r>
      <w:r>
        <w:rPr>
          <w:rFonts w:ascii="Times New Roman" w:hAnsi="Times New Roman" w:cs="Times New Roman"/>
          <w:sz w:val="28"/>
          <w:szCs w:val="28"/>
        </w:rPr>
        <w:t xml:space="preserve">onclusion </w:t>
      </w:r>
      <w:r w:rsidR="00D62771">
        <w:rPr>
          <w:rFonts w:ascii="Times New Roman" w:hAnsi="Times New Roman" w:cs="Times New Roman"/>
          <w:sz w:val="28"/>
          <w:szCs w:val="28"/>
        </w:rPr>
        <w:t>is</w:t>
      </w:r>
      <w:r w:rsidR="006C49C5" w:rsidRPr="00D62771">
        <w:rPr>
          <w:rFonts w:ascii="Times New Roman" w:hAnsi="Times New Roman" w:cs="Times New Roman"/>
          <w:sz w:val="28"/>
          <w:szCs w:val="28"/>
        </w:rPr>
        <w:t xml:space="preserve"> that Agrippa’s hybrid re</w:t>
      </w:r>
      <w:r w:rsidR="00B67664">
        <w:rPr>
          <w:rFonts w:ascii="Times New Roman" w:hAnsi="Times New Roman" w:cs="Times New Roman"/>
          <w:sz w:val="28"/>
          <w:szCs w:val="28"/>
        </w:rPr>
        <w:t>ligious identity is clearly reflected</w:t>
      </w:r>
      <w:r w:rsidR="006C49C5" w:rsidRPr="00D62771">
        <w:rPr>
          <w:rFonts w:ascii="Times New Roman" w:hAnsi="Times New Roman" w:cs="Times New Roman"/>
          <w:sz w:val="28"/>
          <w:szCs w:val="28"/>
        </w:rPr>
        <w:t xml:space="preserve"> in </w:t>
      </w:r>
      <w:r w:rsidR="001F44FF">
        <w:rPr>
          <w:rFonts w:ascii="Times New Roman" w:hAnsi="Times New Roman" w:cs="Times New Roman"/>
          <w:sz w:val="28"/>
          <w:szCs w:val="28"/>
        </w:rPr>
        <w:t>his anthropological ideas and beliefs</w:t>
      </w:r>
      <w:r w:rsidR="006C49C5" w:rsidRPr="00D62771">
        <w:rPr>
          <w:rFonts w:ascii="Times New Roman" w:hAnsi="Times New Roman" w:cs="Times New Roman"/>
          <w:sz w:val="28"/>
          <w:szCs w:val="28"/>
        </w:rPr>
        <w:t xml:space="preserve">. I </w:t>
      </w:r>
      <w:r w:rsidR="00D62771">
        <w:rPr>
          <w:rFonts w:ascii="Times New Roman" w:hAnsi="Times New Roman" w:cs="Times New Roman"/>
          <w:sz w:val="28"/>
          <w:szCs w:val="28"/>
        </w:rPr>
        <w:t xml:space="preserve">hope that in my analysis I </w:t>
      </w:r>
      <w:r w:rsidR="006C49C5" w:rsidRPr="00D62771">
        <w:rPr>
          <w:rFonts w:ascii="Times New Roman" w:hAnsi="Times New Roman" w:cs="Times New Roman"/>
          <w:sz w:val="28"/>
          <w:szCs w:val="28"/>
        </w:rPr>
        <w:t>mana</w:t>
      </w:r>
      <w:r>
        <w:rPr>
          <w:rFonts w:ascii="Times New Roman" w:hAnsi="Times New Roman" w:cs="Times New Roman"/>
          <w:sz w:val="28"/>
          <w:szCs w:val="28"/>
        </w:rPr>
        <w:t>ged to validate</w:t>
      </w:r>
      <w:r w:rsidR="00D62771">
        <w:rPr>
          <w:rFonts w:ascii="Times New Roman" w:hAnsi="Times New Roman" w:cs="Times New Roman"/>
          <w:sz w:val="28"/>
          <w:szCs w:val="28"/>
        </w:rPr>
        <w:t xml:space="preserve"> the above</w:t>
      </w:r>
      <w:r w:rsidR="006C49C5" w:rsidRPr="00D62771">
        <w:rPr>
          <w:rFonts w:ascii="Times New Roman" w:hAnsi="Times New Roman" w:cs="Times New Roman"/>
          <w:sz w:val="28"/>
          <w:szCs w:val="28"/>
        </w:rPr>
        <w:t xml:space="preserve"> conclusions and that my dissertation will thus make a contribution to the steadily growing scholarship on Cornelius Agrippa</w:t>
      </w:r>
      <w:r w:rsidR="009C58E8">
        <w:rPr>
          <w:rFonts w:ascii="Times New Roman" w:hAnsi="Times New Roman" w:cs="Times New Roman"/>
          <w:sz w:val="28"/>
          <w:szCs w:val="28"/>
        </w:rPr>
        <w:t xml:space="preserve"> von </w:t>
      </w:r>
      <w:proofErr w:type="spellStart"/>
      <w:r w:rsidR="009C58E8">
        <w:rPr>
          <w:rFonts w:ascii="Times New Roman" w:hAnsi="Times New Roman" w:cs="Times New Roman"/>
          <w:sz w:val="28"/>
          <w:szCs w:val="28"/>
        </w:rPr>
        <w:t>Nettesheim</w:t>
      </w:r>
      <w:proofErr w:type="spellEnd"/>
      <w:r w:rsidR="006C49C5" w:rsidRPr="00D62771">
        <w:rPr>
          <w:rFonts w:ascii="Times New Roman" w:hAnsi="Times New Roman" w:cs="Times New Roman"/>
          <w:sz w:val="28"/>
          <w:szCs w:val="28"/>
        </w:rPr>
        <w:t>.</w:t>
      </w:r>
    </w:p>
    <w:p w:rsidR="00630D5E" w:rsidRDefault="00630D5E">
      <w:pPr>
        <w:spacing w:before="120" w:after="120"/>
        <w:jc w:val="both"/>
      </w:pPr>
    </w:p>
    <w:p w:rsidR="00630D5E" w:rsidRDefault="00630D5E">
      <w:pPr>
        <w:rPr>
          <w:rFonts w:ascii="Times New Roman" w:hAnsi="Times New Roman" w:cs="Times New Roman"/>
          <w:sz w:val="28"/>
          <w:szCs w:val="28"/>
        </w:rPr>
      </w:pPr>
    </w:p>
    <w:p w:rsidR="00630D5E" w:rsidRDefault="00630D5E">
      <w:pPr>
        <w:pageBreakBefore/>
        <w:jc w:val="both"/>
      </w:pPr>
      <w:r>
        <w:rPr>
          <w:rFonts w:ascii="Times New Roman" w:hAnsi="Times New Roman" w:cs="Times New Roman"/>
          <w:b/>
          <w:bCs/>
          <w:sz w:val="28"/>
          <w:szCs w:val="28"/>
        </w:rPr>
        <w:lastRenderedPageBreak/>
        <w:t>Curriculum Vitae</w:t>
      </w:r>
    </w:p>
    <w:p w:rsidR="00630D5E" w:rsidRDefault="00630D5E">
      <w:pPr>
        <w:pBdr>
          <w:top w:val="none" w:sz="0" w:space="0" w:color="000000"/>
          <w:left w:val="none" w:sz="0" w:space="0" w:color="000000"/>
          <w:bottom w:val="single" w:sz="6" w:space="1" w:color="00000A"/>
          <w:right w:val="none" w:sz="0" w:space="0" w:color="000000"/>
        </w:pBdr>
        <w:spacing w:before="240" w:after="120"/>
        <w:jc w:val="both"/>
        <w:rPr>
          <w:rFonts w:ascii="Times New Roman" w:hAnsi="Times New Roman" w:cs="Times New Roman"/>
          <w:b/>
          <w:color w:val="0000FF"/>
          <w:sz w:val="28"/>
          <w:szCs w:val="28"/>
        </w:rPr>
      </w:pPr>
    </w:p>
    <w:p w:rsidR="00630D5E" w:rsidRDefault="00630D5E">
      <w:pPr>
        <w:pBdr>
          <w:top w:val="none" w:sz="0" w:space="0" w:color="000000"/>
          <w:left w:val="none" w:sz="0" w:space="0" w:color="000000"/>
          <w:bottom w:val="single" w:sz="6" w:space="1" w:color="00000A"/>
          <w:right w:val="none" w:sz="0" w:space="0" w:color="000000"/>
        </w:pBdr>
        <w:spacing w:before="240" w:after="120"/>
        <w:jc w:val="both"/>
      </w:pPr>
      <w:r>
        <w:rPr>
          <w:rFonts w:ascii="Times New Roman" w:hAnsi="Times New Roman" w:cs="Times New Roman"/>
          <w:b/>
          <w:color w:val="0000FF"/>
          <w:sz w:val="28"/>
          <w:szCs w:val="28"/>
        </w:rPr>
        <w:t xml:space="preserve">Studies </w:t>
      </w:r>
    </w:p>
    <w:p w:rsidR="00A204CD" w:rsidRDefault="00A204CD" w:rsidP="002E21C0">
      <w:pPr>
        <w:ind w:left="2160" w:hanging="2160"/>
        <w:jc w:val="both"/>
        <w:rPr>
          <w:rFonts w:ascii="Times New Roman" w:hAnsi="Times New Roman" w:cs="Times New Roman"/>
          <w:bCs/>
          <w:color w:val="000000"/>
          <w:sz w:val="28"/>
          <w:szCs w:val="28"/>
        </w:rPr>
      </w:pPr>
    </w:p>
    <w:p w:rsidR="00630D5E" w:rsidRPr="00514603" w:rsidRDefault="00514603" w:rsidP="002E21C0">
      <w:pPr>
        <w:ind w:left="2160" w:hanging="2160"/>
        <w:jc w:val="both"/>
        <w:rPr>
          <w:rFonts w:ascii="Times New Roman" w:hAnsi="Times New Roman" w:cs="Times New Roman"/>
          <w:sz w:val="28"/>
          <w:szCs w:val="28"/>
        </w:rPr>
      </w:pPr>
      <w:r>
        <w:rPr>
          <w:rFonts w:ascii="Times New Roman" w:hAnsi="Times New Roman" w:cs="Times New Roman"/>
          <w:bCs/>
          <w:color w:val="000000"/>
          <w:sz w:val="28"/>
          <w:szCs w:val="28"/>
        </w:rPr>
        <w:t>2009</w:t>
      </w:r>
      <w:r w:rsidR="006B47AA">
        <w:rPr>
          <w:rFonts w:ascii="Times New Roman" w:hAnsi="Times New Roman" w:cs="Times New Roman"/>
          <w:bCs/>
          <w:color w:val="000000"/>
          <w:sz w:val="28"/>
          <w:szCs w:val="28"/>
        </w:rPr>
        <w:t>–</w:t>
      </w:r>
      <w:r w:rsidR="00630D5E">
        <w:rPr>
          <w:rFonts w:ascii="Times New Roman" w:hAnsi="Times New Roman" w:cs="Times New Roman"/>
          <w:bCs/>
          <w:color w:val="000000"/>
          <w:sz w:val="28"/>
          <w:szCs w:val="28"/>
        </w:rPr>
        <w:tab/>
        <w:t>PhD in Medieval Studies, Central European University, Budapest, Hungary (supervisor</w:t>
      </w:r>
      <w:r>
        <w:rPr>
          <w:rFonts w:ascii="Times New Roman" w:hAnsi="Times New Roman" w:cs="Times New Roman"/>
          <w:bCs/>
          <w:color w:val="000000"/>
          <w:sz w:val="28"/>
          <w:szCs w:val="28"/>
        </w:rPr>
        <w:t>s</w:t>
      </w:r>
      <w:r w:rsidR="00630D5E">
        <w:rPr>
          <w:rFonts w:ascii="Times New Roman" w:hAnsi="Times New Roman" w:cs="Times New Roman"/>
          <w:bCs/>
          <w:color w:val="000000"/>
          <w:sz w:val="28"/>
          <w:szCs w:val="28"/>
        </w:rPr>
        <w:t xml:space="preserve">: </w:t>
      </w:r>
      <w:r w:rsidRPr="00D162B6">
        <w:rPr>
          <w:rFonts w:ascii="Times New Roman" w:hAnsi="Times New Roman" w:cs="Times New Roman"/>
          <w:sz w:val="28"/>
          <w:szCs w:val="28"/>
        </w:rPr>
        <w:t xml:space="preserve">György E. </w:t>
      </w:r>
      <w:proofErr w:type="spellStart"/>
      <w:r w:rsidRPr="00D162B6">
        <w:rPr>
          <w:rFonts w:ascii="Times New Roman" w:hAnsi="Times New Roman" w:cs="Times New Roman"/>
          <w:sz w:val="28"/>
          <w:szCs w:val="28"/>
        </w:rPr>
        <w:t>Szőnyi</w:t>
      </w:r>
      <w:proofErr w:type="spellEnd"/>
      <w:r>
        <w:rPr>
          <w:rFonts w:ascii="Times New Roman" w:hAnsi="Times New Roman" w:cs="Times New Roman"/>
          <w:sz w:val="28"/>
          <w:szCs w:val="28"/>
        </w:rPr>
        <w:t xml:space="preserve">, </w:t>
      </w:r>
      <w:r w:rsidRPr="00D162B6">
        <w:rPr>
          <w:rFonts w:ascii="Times New Roman" w:hAnsi="Times New Roman" w:cs="Times New Roman"/>
          <w:sz w:val="28"/>
          <w:szCs w:val="28"/>
        </w:rPr>
        <w:t xml:space="preserve">György </w:t>
      </w:r>
      <w:proofErr w:type="spellStart"/>
      <w:r w:rsidRPr="00D162B6">
        <w:rPr>
          <w:rFonts w:ascii="Times New Roman" w:hAnsi="Times New Roman" w:cs="Times New Roman"/>
          <w:sz w:val="28"/>
          <w:szCs w:val="28"/>
        </w:rPr>
        <w:t>Geréby</w:t>
      </w:r>
      <w:proofErr w:type="spellEnd"/>
      <w:r w:rsidR="00630D5E">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630D5E" w:rsidRDefault="00514603">
      <w:pPr>
        <w:spacing w:after="120"/>
        <w:ind w:left="2126" w:hanging="2126"/>
        <w:jc w:val="both"/>
      </w:pPr>
      <w:r>
        <w:rPr>
          <w:rFonts w:ascii="Times New Roman" w:hAnsi="Times New Roman" w:cs="Times New Roman"/>
          <w:bCs/>
          <w:color w:val="000000"/>
          <w:sz w:val="28"/>
          <w:szCs w:val="28"/>
        </w:rPr>
        <w:t>2006–2007</w:t>
      </w:r>
      <w:r w:rsidR="00630D5E">
        <w:rPr>
          <w:rFonts w:ascii="Times New Roman" w:hAnsi="Times New Roman" w:cs="Times New Roman"/>
          <w:bCs/>
          <w:color w:val="000000"/>
          <w:sz w:val="28"/>
          <w:szCs w:val="28"/>
        </w:rPr>
        <w:tab/>
        <w:t>MA in Medieval Studies, Central European University Budapest, Hungary</w:t>
      </w:r>
      <w:r>
        <w:rPr>
          <w:rFonts w:ascii="Times New Roman" w:hAnsi="Times New Roman" w:cs="Times New Roman"/>
          <w:bCs/>
          <w:color w:val="000000"/>
          <w:sz w:val="28"/>
          <w:szCs w:val="28"/>
        </w:rPr>
        <w:t>;</w:t>
      </w:r>
    </w:p>
    <w:p w:rsidR="00630D5E" w:rsidRDefault="00514603" w:rsidP="00514603">
      <w:pPr>
        <w:spacing w:after="120"/>
        <w:ind w:left="2160" w:hanging="2160"/>
        <w:jc w:val="both"/>
      </w:pPr>
      <w:r>
        <w:rPr>
          <w:rFonts w:ascii="Times New Roman" w:hAnsi="Times New Roman" w:cs="Times New Roman"/>
          <w:bCs/>
          <w:color w:val="000000"/>
          <w:sz w:val="28"/>
          <w:szCs w:val="28"/>
        </w:rPr>
        <w:t>1996–2004</w:t>
      </w:r>
      <w:r>
        <w:rPr>
          <w:rFonts w:ascii="Times New Roman" w:hAnsi="Times New Roman" w:cs="Times New Roman"/>
          <w:bCs/>
          <w:color w:val="000000"/>
          <w:sz w:val="28"/>
          <w:szCs w:val="28"/>
        </w:rPr>
        <w:tab/>
        <w:t>BA and MA in Classics</w:t>
      </w:r>
      <w:r w:rsidR="00630D5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Faculty of Philosophy, Belgrade University, Belgrade, Serbia;</w:t>
      </w:r>
    </w:p>
    <w:p w:rsidR="00630D5E" w:rsidRDefault="00630D5E">
      <w:pPr>
        <w:pBdr>
          <w:top w:val="none" w:sz="0" w:space="0" w:color="000000"/>
          <w:left w:val="none" w:sz="0" w:space="0" w:color="000000"/>
          <w:bottom w:val="single" w:sz="6" w:space="1" w:color="00000A"/>
          <w:right w:val="none" w:sz="0" w:space="0" w:color="000000"/>
        </w:pBdr>
        <w:spacing w:before="240" w:after="120"/>
        <w:jc w:val="both"/>
        <w:rPr>
          <w:rFonts w:ascii="Times New Roman" w:hAnsi="Times New Roman" w:cs="Times New Roman"/>
          <w:b/>
          <w:color w:val="0000FF"/>
          <w:sz w:val="28"/>
          <w:szCs w:val="28"/>
        </w:rPr>
      </w:pPr>
    </w:p>
    <w:p w:rsidR="00026B0A" w:rsidRDefault="00026B0A">
      <w:pPr>
        <w:pBdr>
          <w:top w:val="none" w:sz="0" w:space="0" w:color="000000"/>
          <w:left w:val="none" w:sz="0" w:space="0" w:color="000000"/>
          <w:bottom w:val="single" w:sz="6" w:space="1" w:color="00000A"/>
          <w:right w:val="none" w:sz="0" w:space="0" w:color="000000"/>
        </w:pBdr>
        <w:spacing w:before="240" w:after="120"/>
        <w:jc w:val="both"/>
        <w:rPr>
          <w:rFonts w:ascii="Times New Roman" w:hAnsi="Times New Roman" w:cs="Times New Roman"/>
          <w:b/>
          <w:color w:val="0000FF"/>
          <w:sz w:val="28"/>
          <w:szCs w:val="28"/>
        </w:rPr>
      </w:pPr>
    </w:p>
    <w:p w:rsidR="00630D5E" w:rsidRDefault="008110BA">
      <w:pPr>
        <w:pBdr>
          <w:top w:val="none" w:sz="0" w:space="0" w:color="000000"/>
          <w:left w:val="none" w:sz="0" w:space="0" w:color="000000"/>
          <w:bottom w:val="single" w:sz="6" w:space="1" w:color="00000A"/>
          <w:right w:val="none" w:sz="0" w:space="0" w:color="000000"/>
        </w:pBdr>
        <w:spacing w:before="240" w:after="120"/>
        <w:jc w:val="both"/>
      </w:pPr>
      <w:r>
        <w:rPr>
          <w:rFonts w:ascii="Times New Roman" w:hAnsi="Times New Roman" w:cs="Times New Roman"/>
          <w:b/>
          <w:color w:val="0000FF"/>
          <w:sz w:val="28"/>
          <w:szCs w:val="28"/>
        </w:rPr>
        <w:t>A</w:t>
      </w:r>
      <w:r w:rsidR="00630D5E">
        <w:rPr>
          <w:rFonts w:ascii="Times New Roman" w:hAnsi="Times New Roman" w:cs="Times New Roman"/>
          <w:b/>
          <w:color w:val="0000FF"/>
          <w:sz w:val="28"/>
          <w:szCs w:val="28"/>
        </w:rPr>
        <w:t>wards</w:t>
      </w:r>
      <w:r>
        <w:rPr>
          <w:rFonts w:ascii="Times New Roman" w:hAnsi="Times New Roman" w:cs="Times New Roman"/>
          <w:b/>
          <w:color w:val="0000FF"/>
          <w:sz w:val="28"/>
          <w:szCs w:val="28"/>
        </w:rPr>
        <w:t xml:space="preserve"> and academic achievements</w:t>
      </w:r>
    </w:p>
    <w:p w:rsidR="00A204CD" w:rsidRDefault="00A204CD" w:rsidP="008110BA">
      <w:pPr>
        <w:spacing w:after="120"/>
        <w:ind w:left="2160" w:hanging="2160"/>
        <w:jc w:val="both"/>
        <w:rPr>
          <w:rFonts w:ascii="Times New Roman" w:hAnsi="Times New Roman" w:cs="Times New Roman"/>
          <w:bCs/>
          <w:color w:val="000000"/>
          <w:sz w:val="28"/>
          <w:szCs w:val="28"/>
        </w:rPr>
      </w:pPr>
    </w:p>
    <w:p w:rsidR="00630D5E" w:rsidRDefault="008110BA" w:rsidP="008110BA">
      <w:pPr>
        <w:spacing w:after="120"/>
        <w:ind w:left="2160" w:hanging="2160"/>
        <w:jc w:val="both"/>
      </w:pPr>
      <w:r>
        <w:rPr>
          <w:rFonts w:ascii="Times New Roman" w:hAnsi="Times New Roman" w:cs="Times New Roman"/>
          <w:bCs/>
          <w:color w:val="000000"/>
          <w:sz w:val="28"/>
          <w:szCs w:val="28"/>
        </w:rPr>
        <w:t>2011                Statement of Proficiency in Medieval Latin – Level Two, Centre for Medieval Studies, University of Toronto;</w:t>
      </w:r>
    </w:p>
    <w:p w:rsidR="00630D5E" w:rsidRDefault="004E277B">
      <w:pPr>
        <w:spacing w:after="120"/>
        <w:ind w:left="2124" w:hanging="21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2010</w:t>
      </w:r>
      <w:r w:rsidR="00630D5E">
        <w:rPr>
          <w:rFonts w:ascii="Times New Roman" w:hAnsi="Times New Roman" w:cs="Times New Roman"/>
          <w:bCs/>
          <w:color w:val="000000"/>
          <w:sz w:val="28"/>
          <w:szCs w:val="28"/>
        </w:rPr>
        <w:tab/>
        <w:t>Academic Achievement Award for First-Year Doctoral Students, Central European University</w:t>
      </w:r>
      <w:r w:rsidR="008110BA">
        <w:rPr>
          <w:rFonts w:ascii="Times New Roman" w:hAnsi="Times New Roman" w:cs="Times New Roman"/>
          <w:bCs/>
          <w:color w:val="000000"/>
          <w:sz w:val="28"/>
          <w:szCs w:val="28"/>
        </w:rPr>
        <w:t>;</w:t>
      </w:r>
    </w:p>
    <w:p w:rsidR="00F81A7E" w:rsidRPr="00F81A7E" w:rsidRDefault="00F81A7E">
      <w:pPr>
        <w:spacing w:after="120"/>
        <w:ind w:left="2124" w:hanging="2124"/>
        <w:jc w:val="both"/>
        <w:rPr>
          <w:rFonts w:ascii="Times New Roman" w:hAnsi="Times New Roman" w:cs="Times New Roman"/>
          <w:sz w:val="28"/>
          <w:szCs w:val="28"/>
        </w:rPr>
      </w:pPr>
      <w:r w:rsidRPr="00F81A7E">
        <w:rPr>
          <w:rFonts w:ascii="Times New Roman" w:hAnsi="Times New Roman" w:cs="Times New Roman"/>
          <w:sz w:val="28"/>
          <w:szCs w:val="28"/>
        </w:rPr>
        <w:t xml:space="preserve">2007 </w:t>
      </w:r>
      <w:r>
        <w:rPr>
          <w:rFonts w:ascii="Times New Roman" w:hAnsi="Times New Roman" w:cs="Times New Roman"/>
          <w:sz w:val="28"/>
          <w:szCs w:val="28"/>
        </w:rPr>
        <w:t xml:space="preserve">          </w:t>
      </w:r>
      <w:r w:rsidR="004E277B">
        <w:rPr>
          <w:rFonts w:ascii="Times New Roman" w:hAnsi="Times New Roman" w:cs="Times New Roman"/>
          <w:sz w:val="28"/>
          <w:szCs w:val="28"/>
        </w:rPr>
        <w:t xml:space="preserve">           </w:t>
      </w:r>
      <w:r w:rsidR="00A15776">
        <w:rPr>
          <w:rFonts w:ascii="Times New Roman" w:hAnsi="Times New Roman" w:cs="Times New Roman"/>
          <w:sz w:val="28"/>
          <w:szCs w:val="28"/>
        </w:rPr>
        <w:t xml:space="preserve"> </w:t>
      </w:r>
      <w:r w:rsidR="004E277B">
        <w:rPr>
          <w:rFonts w:ascii="Times New Roman" w:hAnsi="Times New Roman" w:cs="Times New Roman"/>
          <w:sz w:val="28"/>
          <w:szCs w:val="28"/>
        </w:rPr>
        <w:t>CEU</w:t>
      </w:r>
      <w:r w:rsidRPr="00F81A7E">
        <w:rPr>
          <w:rFonts w:ascii="Times New Roman" w:hAnsi="Times New Roman" w:cs="Times New Roman"/>
          <w:sz w:val="28"/>
          <w:szCs w:val="28"/>
        </w:rPr>
        <w:t xml:space="preserve"> Academic Pro-Rec</w:t>
      </w:r>
      <w:r w:rsidR="006D1D79">
        <w:rPr>
          <w:rFonts w:ascii="Times New Roman" w:hAnsi="Times New Roman" w:cs="Times New Roman"/>
          <w:sz w:val="28"/>
          <w:szCs w:val="28"/>
        </w:rPr>
        <w:t>tor’s Excellence Award</w:t>
      </w:r>
      <w:r>
        <w:rPr>
          <w:rFonts w:ascii="Times New Roman" w:hAnsi="Times New Roman" w:cs="Times New Roman"/>
          <w:sz w:val="28"/>
          <w:szCs w:val="28"/>
        </w:rPr>
        <w:t>;</w:t>
      </w:r>
    </w:p>
    <w:p w:rsidR="00983F74" w:rsidRPr="00983F74" w:rsidRDefault="004E277B" w:rsidP="004E277B">
      <w:pPr>
        <w:spacing w:after="120"/>
        <w:ind w:left="2160" w:hanging="2160"/>
        <w:jc w:val="both"/>
        <w:rPr>
          <w:rFonts w:ascii="Times New Roman" w:hAnsi="Times New Roman" w:cs="Times New Roman"/>
          <w:sz w:val="28"/>
          <w:szCs w:val="28"/>
        </w:rPr>
      </w:pPr>
      <w:r>
        <w:rPr>
          <w:rFonts w:ascii="Times New Roman" w:hAnsi="Times New Roman" w:cs="Times New Roman"/>
          <w:sz w:val="28"/>
          <w:szCs w:val="28"/>
        </w:rPr>
        <w:t xml:space="preserve">2007                      </w:t>
      </w:r>
      <w:r w:rsidR="00A15776">
        <w:rPr>
          <w:rFonts w:ascii="Times New Roman" w:hAnsi="Times New Roman" w:cs="Times New Roman"/>
          <w:sz w:val="28"/>
          <w:szCs w:val="28"/>
        </w:rPr>
        <w:t xml:space="preserve"> </w:t>
      </w:r>
      <w:r>
        <w:rPr>
          <w:rFonts w:ascii="Times New Roman" w:hAnsi="Times New Roman" w:cs="Times New Roman"/>
          <w:sz w:val="28"/>
          <w:szCs w:val="28"/>
        </w:rPr>
        <w:t>CEU</w:t>
      </w:r>
      <w:r w:rsidR="00983F74" w:rsidRPr="00983F74">
        <w:rPr>
          <w:rFonts w:ascii="Times New Roman" w:hAnsi="Times New Roman" w:cs="Times New Roman"/>
          <w:sz w:val="28"/>
          <w:szCs w:val="28"/>
        </w:rPr>
        <w:t xml:space="preserve"> O</w:t>
      </w:r>
      <w:r>
        <w:rPr>
          <w:rFonts w:ascii="Times New Roman" w:hAnsi="Times New Roman" w:cs="Times New Roman"/>
          <w:sz w:val="28"/>
          <w:szCs w:val="28"/>
        </w:rPr>
        <w:t xml:space="preserve">utstanding Academic Achievement </w:t>
      </w:r>
      <w:r w:rsidR="006D1D79">
        <w:rPr>
          <w:rFonts w:ascii="Times New Roman" w:hAnsi="Times New Roman" w:cs="Times New Roman"/>
          <w:sz w:val="28"/>
          <w:szCs w:val="28"/>
        </w:rPr>
        <w:t>Award</w:t>
      </w:r>
      <w:r w:rsidR="00983F74">
        <w:rPr>
          <w:rFonts w:ascii="Times New Roman" w:hAnsi="Times New Roman" w:cs="Times New Roman"/>
          <w:sz w:val="28"/>
          <w:szCs w:val="28"/>
        </w:rPr>
        <w:t>;</w:t>
      </w:r>
    </w:p>
    <w:p w:rsidR="00630D5E" w:rsidRDefault="00983F74" w:rsidP="00983F74">
      <w:pPr>
        <w:spacing w:after="120"/>
        <w:ind w:left="2160" w:hanging="2160"/>
        <w:jc w:val="both"/>
      </w:pPr>
      <w:r>
        <w:rPr>
          <w:rFonts w:ascii="Times New Roman" w:hAnsi="Times New Roman" w:cs="Times New Roman"/>
          <w:color w:val="000000"/>
          <w:sz w:val="28"/>
          <w:szCs w:val="28"/>
        </w:rPr>
        <w:t>1999–2000</w:t>
      </w:r>
      <w:r>
        <w:rPr>
          <w:rFonts w:ascii="Times New Roman" w:hAnsi="Times New Roman" w:cs="Times New Roman"/>
          <w:color w:val="000000"/>
          <w:sz w:val="28"/>
          <w:szCs w:val="28"/>
        </w:rPr>
        <w:tab/>
      </w:r>
      <w:r w:rsidR="00630D5E">
        <w:rPr>
          <w:rFonts w:ascii="Times New Roman" w:hAnsi="Times New Roman" w:cs="Times New Roman"/>
          <w:color w:val="000000"/>
          <w:sz w:val="28"/>
          <w:szCs w:val="28"/>
        </w:rPr>
        <w:t xml:space="preserve">Scholarship of the </w:t>
      </w:r>
      <w:r>
        <w:rPr>
          <w:rFonts w:ascii="Times New Roman" w:hAnsi="Times New Roman" w:cs="Times New Roman"/>
          <w:color w:val="000000"/>
          <w:sz w:val="28"/>
          <w:szCs w:val="28"/>
        </w:rPr>
        <w:t>Royal Norwegian Embassy in Belgrade (for the best 1000 undergraduate students in Serbia);</w:t>
      </w:r>
    </w:p>
    <w:p w:rsidR="00630D5E" w:rsidRDefault="00630D5E">
      <w:pPr>
        <w:rPr>
          <w:rFonts w:ascii="Times New Roman" w:hAnsi="Times New Roman" w:cs="Times New Roman"/>
          <w:b/>
          <w:color w:val="0000FF"/>
          <w:sz w:val="28"/>
          <w:szCs w:val="28"/>
        </w:rPr>
      </w:pPr>
    </w:p>
    <w:p w:rsidR="00630D5E" w:rsidRDefault="00533589">
      <w:pPr>
        <w:pageBreakBefore/>
        <w:pBdr>
          <w:top w:val="none" w:sz="0" w:space="0" w:color="000000"/>
          <w:left w:val="none" w:sz="0" w:space="0" w:color="000000"/>
          <w:bottom w:val="single" w:sz="6" w:space="1" w:color="00000A"/>
          <w:right w:val="none" w:sz="0" w:space="0" w:color="000000"/>
        </w:pBdr>
        <w:spacing w:after="120"/>
        <w:jc w:val="both"/>
      </w:pPr>
      <w:r>
        <w:rPr>
          <w:rFonts w:ascii="Times New Roman" w:hAnsi="Times New Roman" w:cs="Times New Roman"/>
          <w:b/>
          <w:color w:val="0000FF"/>
          <w:sz w:val="28"/>
          <w:szCs w:val="28"/>
        </w:rPr>
        <w:lastRenderedPageBreak/>
        <w:t>Conferences and other academic events</w:t>
      </w:r>
      <w:r w:rsidR="00630D5E">
        <w:rPr>
          <w:rFonts w:ascii="Times New Roman" w:hAnsi="Times New Roman" w:cs="Times New Roman"/>
          <w:b/>
          <w:color w:val="0000FF"/>
          <w:sz w:val="28"/>
          <w:szCs w:val="28"/>
        </w:rPr>
        <w:t xml:space="preserve"> relevant to the Dissertation</w:t>
      </w:r>
    </w:p>
    <w:p w:rsidR="00366355" w:rsidRDefault="00366355" w:rsidP="00F4341C">
      <w:pPr>
        <w:spacing w:after="120"/>
        <w:ind w:left="2124" w:hanging="2124"/>
        <w:jc w:val="both"/>
        <w:rPr>
          <w:rFonts w:ascii="Times New Roman" w:hAnsi="Times New Roman" w:cs="Times New Roman"/>
          <w:bCs/>
          <w:color w:val="000000"/>
          <w:sz w:val="28"/>
          <w:szCs w:val="28"/>
        </w:rPr>
      </w:pPr>
    </w:p>
    <w:p w:rsidR="00CC3D9C" w:rsidRDefault="00CC3D9C" w:rsidP="002E21C0">
      <w:pPr>
        <w:spacing w:after="120"/>
        <w:ind w:left="2124" w:hanging="2124"/>
        <w:rPr>
          <w:rFonts w:ascii="Times New Roman" w:hAnsi="Times New Roman" w:cs="Times New Roman"/>
          <w:bCs/>
          <w:color w:val="000000"/>
          <w:sz w:val="28"/>
          <w:szCs w:val="28"/>
        </w:rPr>
      </w:pPr>
      <w:r>
        <w:rPr>
          <w:rFonts w:ascii="Times New Roman" w:hAnsi="Times New Roman" w:cs="Times New Roman"/>
          <w:bCs/>
          <w:color w:val="000000"/>
          <w:sz w:val="28"/>
          <w:szCs w:val="28"/>
        </w:rPr>
        <w:t>2016</w:t>
      </w:r>
      <w:r w:rsidR="00366355">
        <w:rPr>
          <w:rFonts w:ascii="Times New Roman" w:hAnsi="Times New Roman" w:cs="Times New Roman"/>
          <w:bCs/>
          <w:color w:val="000000"/>
          <w:sz w:val="28"/>
          <w:szCs w:val="28"/>
        </w:rPr>
        <w:t xml:space="preserve">          </w:t>
      </w:r>
      <w:r w:rsidR="002E21C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The Second International </w:t>
      </w:r>
      <w:proofErr w:type="spellStart"/>
      <w:r>
        <w:rPr>
          <w:rFonts w:ascii="Times New Roman" w:hAnsi="Times New Roman" w:cs="Times New Roman"/>
          <w:bCs/>
          <w:color w:val="000000"/>
          <w:sz w:val="28"/>
          <w:szCs w:val="28"/>
        </w:rPr>
        <w:t>CEENASWE</w:t>
      </w:r>
      <w:proofErr w:type="spellEnd"/>
      <w:r>
        <w:rPr>
          <w:rFonts w:ascii="Times New Roman" w:hAnsi="Times New Roman" w:cs="Times New Roman"/>
          <w:bCs/>
          <w:color w:val="000000"/>
          <w:sz w:val="28"/>
          <w:szCs w:val="28"/>
        </w:rPr>
        <w:t xml:space="preserve"> Conference</w:t>
      </w:r>
      <w:r w:rsidR="00F4341C">
        <w:rPr>
          <w:rFonts w:ascii="Times New Roman" w:hAnsi="Times New Roman" w:cs="Times New Roman"/>
          <w:bCs/>
          <w:color w:val="000000"/>
          <w:sz w:val="28"/>
          <w:szCs w:val="28"/>
        </w:rPr>
        <w:t xml:space="preserve"> </w:t>
      </w:r>
      <w:proofErr w:type="gramStart"/>
      <w:r w:rsidR="00F4341C" w:rsidRPr="00366355">
        <w:rPr>
          <w:rFonts w:ascii="Times New Roman" w:hAnsi="Times New Roman" w:cs="Times New Roman"/>
          <w:bCs/>
          <w:i/>
          <w:color w:val="000000"/>
          <w:sz w:val="28"/>
          <w:szCs w:val="28"/>
        </w:rPr>
        <w:t xml:space="preserve">Esotericism,   </w:t>
      </w:r>
      <w:proofErr w:type="gramEnd"/>
      <w:r w:rsidR="00F4341C" w:rsidRPr="00366355">
        <w:rPr>
          <w:rFonts w:ascii="Times New Roman" w:hAnsi="Times New Roman" w:cs="Times New Roman"/>
          <w:bCs/>
          <w:i/>
          <w:color w:val="000000"/>
          <w:sz w:val="28"/>
          <w:szCs w:val="28"/>
        </w:rPr>
        <w:t xml:space="preserve">    Literature and Culture in Central and Eastern Europe</w:t>
      </w:r>
      <w:r w:rsidR="00F4341C">
        <w:rPr>
          <w:rFonts w:ascii="Times New Roman" w:hAnsi="Times New Roman" w:cs="Times New Roman"/>
          <w:bCs/>
          <w:color w:val="000000"/>
          <w:sz w:val="28"/>
          <w:szCs w:val="28"/>
        </w:rPr>
        <w:t>, Faculty of Philology, Belgrade University, Belgrade, Serbia (May 27–28);</w:t>
      </w:r>
      <w:r w:rsidR="00366355">
        <w:rPr>
          <w:rFonts w:ascii="Times New Roman" w:hAnsi="Times New Roman" w:cs="Times New Roman"/>
          <w:bCs/>
          <w:color w:val="000000"/>
          <w:sz w:val="28"/>
          <w:szCs w:val="28"/>
        </w:rPr>
        <w:t xml:space="preserve">   </w:t>
      </w:r>
    </w:p>
    <w:p w:rsidR="00630D5E" w:rsidRDefault="00F555A1">
      <w:pPr>
        <w:spacing w:after="120"/>
        <w:ind w:left="2124" w:hanging="2124"/>
        <w:jc w:val="both"/>
      </w:pPr>
      <w:r>
        <w:rPr>
          <w:rFonts w:ascii="Times New Roman" w:hAnsi="Times New Roman" w:cs="Times New Roman"/>
          <w:bCs/>
          <w:color w:val="000000"/>
          <w:sz w:val="28"/>
          <w:szCs w:val="28"/>
        </w:rPr>
        <w:t>2014</w:t>
      </w:r>
      <w:r w:rsidR="00630D5E">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The First International </w:t>
      </w:r>
      <w:proofErr w:type="spellStart"/>
      <w:r>
        <w:rPr>
          <w:rFonts w:ascii="Times New Roman" w:hAnsi="Times New Roman" w:cs="Times New Roman"/>
          <w:bCs/>
          <w:color w:val="000000"/>
          <w:sz w:val="28"/>
          <w:szCs w:val="28"/>
        </w:rPr>
        <w:t>CEENASWE</w:t>
      </w:r>
      <w:proofErr w:type="spellEnd"/>
      <w:r>
        <w:rPr>
          <w:rFonts w:ascii="Times New Roman" w:hAnsi="Times New Roman" w:cs="Times New Roman"/>
          <w:bCs/>
          <w:color w:val="000000"/>
          <w:sz w:val="28"/>
          <w:szCs w:val="28"/>
        </w:rPr>
        <w:t xml:space="preserve"> Conference </w:t>
      </w:r>
      <w:r w:rsidRPr="00CC3D9C">
        <w:rPr>
          <w:rFonts w:ascii="Times New Roman" w:hAnsi="Times New Roman" w:cs="Times New Roman"/>
          <w:bCs/>
          <w:i/>
          <w:color w:val="000000"/>
          <w:sz w:val="28"/>
          <w:szCs w:val="28"/>
        </w:rPr>
        <w:t>Western Esotericism in East-Central Europe over the Centuries</w:t>
      </w:r>
      <w:r>
        <w:rPr>
          <w:rFonts w:ascii="Times New Roman" w:hAnsi="Times New Roman" w:cs="Times New Roman"/>
          <w:bCs/>
          <w:color w:val="000000"/>
          <w:sz w:val="28"/>
          <w:szCs w:val="28"/>
        </w:rPr>
        <w:t>, Central European University, Budapest, Hungary (July 4–5);</w:t>
      </w:r>
    </w:p>
    <w:p w:rsidR="004602C4" w:rsidRPr="004602C4" w:rsidRDefault="004602C4" w:rsidP="004602C4">
      <w:pPr>
        <w:pStyle w:val="Heading2"/>
        <w:spacing w:before="0" w:after="120"/>
        <w:ind w:left="2160" w:hanging="2160"/>
        <w:jc w:val="both"/>
        <w:rPr>
          <w:rFonts w:ascii="Times New Roman" w:hAnsi="Times New Roman" w:cs="Times New Roman"/>
          <w:b w:val="0"/>
          <w:i w:val="0"/>
          <w:lang w:val="sr-Cyrl-RS"/>
        </w:rPr>
      </w:pPr>
      <w:r w:rsidRPr="004602C4">
        <w:rPr>
          <w:rFonts w:ascii="Times New Roman" w:hAnsi="Times New Roman" w:cs="Times New Roman"/>
          <w:b w:val="0"/>
          <w:bCs w:val="0"/>
          <w:i w:val="0"/>
          <w:color w:val="000000"/>
        </w:rPr>
        <w:t>2013</w:t>
      </w:r>
      <w:r w:rsidR="00630D5E" w:rsidRPr="004602C4">
        <w:rPr>
          <w:rFonts w:ascii="Times New Roman" w:hAnsi="Times New Roman" w:cs="Times New Roman"/>
          <w:b w:val="0"/>
          <w:bCs w:val="0"/>
          <w:i w:val="0"/>
          <w:color w:val="000000"/>
        </w:rPr>
        <w:tab/>
      </w:r>
      <w:r>
        <w:rPr>
          <w:rFonts w:ascii="Times New Roman" w:hAnsi="Times New Roman" w:cs="Times New Roman"/>
          <w:b w:val="0"/>
          <w:bCs w:val="0"/>
          <w:i w:val="0"/>
          <w:color w:val="000000"/>
        </w:rPr>
        <w:t xml:space="preserve">The Fourth International </w:t>
      </w:r>
      <w:proofErr w:type="spellStart"/>
      <w:r>
        <w:rPr>
          <w:rFonts w:ascii="Times New Roman" w:hAnsi="Times New Roman" w:cs="Times New Roman"/>
          <w:b w:val="0"/>
          <w:bCs w:val="0"/>
          <w:i w:val="0"/>
          <w:color w:val="000000"/>
        </w:rPr>
        <w:t>ESSWE</w:t>
      </w:r>
      <w:proofErr w:type="spellEnd"/>
      <w:r>
        <w:rPr>
          <w:rFonts w:ascii="Times New Roman" w:hAnsi="Times New Roman" w:cs="Times New Roman"/>
          <w:b w:val="0"/>
          <w:bCs w:val="0"/>
          <w:i w:val="0"/>
          <w:color w:val="000000"/>
        </w:rPr>
        <w:t xml:space="preserve"> Conference </w:t>
      </w:r>
      <w:r w:rsidRPr="004602C4">
        <w:rPr>
          <w:rFonts w:ascii="Times New Roman" w:hAnsi="Times New Roman" w:cs="Times New Roman"/>
          <w:b w:val="0"/>
        </w:rPr>
        <w:t>Western</w:t>
      </w:r>
      <w:r w:rsidRPr="004602C4">
        <w:rPr>
          <w:rFonts w:ascii="Times New Roman" w:hAnsi="Times New Roman" w:cs="Times New Roman"/>
          <w:b w:val="0"/>
          <w:lang w:val="sr-Cyrl-RS"/>
        </w:rPr>
        <w:t xml:space="preserve"> </w:t>
      </w:r>
      <w:r w:rsidRPr="004602C4">
        <w:rPr>
          <w:rFonts w:ascii="Times New Roman" w:hAnsi="Times New Roman" w:cs="Times New Roman"/>
          <w:b w:val="0"/>
        </w:rPr>
        <w:t>Esotericism</w:t>
      </w:r>
      <w:r w:rsidRPr="004602C4">
        <w:rPr>
          <w:rFonts w:ascii="Times New Roman" w:hAnsi="Times New Roman" w:cs="Times New Roman"/>
          <w:b w:val="0"/>
          <w:lang w:val="sr-Cyrl-RS"/>
        </w:rPr>
        <w:t xml:space="preserve"> </w:t>
      </w:r>
      <w:r w:rsidRPr="004602C4">
        <w:rPr>
          <w:rFonts w:ascii="Times New Roman" w:hAnsi="Times New Roman" w:cs="Times New Roman"/>
          <w:b w:val="0"/>
        </w:rPr>
        <w:t>and</w:t>
      </w:r>
      <w:r w:rsidRPr="004602C4">
        <w:rPr>
          <w:rFonts w:ascii="Times New Roman" w:hAnsi="Times New Roman" w:cs="Times New Roman"/>
          <w:b w:val="0"/>
          <w:lang w:val="sr-Cyrl-RS"/>
        </w:rPr>
        <w:t xml:space="preserve"> </w:t>
      </w:r>
      <w:r w:rsidRPr="004602C4">
        <w:rPr>
          <w:rFonts w:ascii="Times New Roman" w:hAnsi="Times New Roman" w:cs="Times New Roman"/>
          <w:b w:val="0"/>
        </w:rPr>
        <w:t>Health</w:t>
      </w:r>
      <w:r>
        <w:rPr>
          <w:rFonts w:ascii="Times New Roman" w:hAnsi="Times New Roman" w:cs="Times New Roman"/>
          <w:b w:val="0"/>
          <w:i w:val="0"/>
          <w:lang w:val="sr-Cyrl-RS"/>
        </w:rPr>
        <w:t>, University of Gothenburg, Gothenburg, Sweden (June 26–29);</w:t>
      </w:r>
    </w:p>
    <w:p w:rsidR="00630D5E" w:rsidRPr="00A0149E" w:rsidRDefault="00A0149E">
      <w:pPr>
        <w:spacing w:after="120"/>
        <w:ind w:left="2124" w:hanging="2124"/>
        <w:jc w:val="both"/>
        <w:rPr>
          <w:rFonts w:ascii="Times New Roman" w:hAnsi="Times New Roman" w:cs="Times New Roman"/>
          <w:sz w:val="28"/>
          <w:szCs w:val="28"/>
        </w:rPr>
      </w:pPr>
      <w:r>
        <w:rPr>
          <w:rFonts w:ascii="Times New Roman" w:hAnsi="Times New Roman" w:cs="Times New Roman"/>
          <w:bCs/>
          <w:color w:val="000000"/>
          <w:sz w:val="28"/>
          <w:szCs w:val="28"/>
        </w:rPr>
        <w:t>2011</w:t>
      </w:r>
      <w:r w:rsidR="00630D5E">
        <w:rPr>
          <w:rFonts w:ascii="Times New Roman" w:hAnsi="Times New Roman" w:cs="Times New Roman"/>
          <w:bCs/>
          <w:color w:val="000000"/>
          <w:sz w:val="28"/>
          <w:szCs w:val="28"/>
        </w:rPr>
        <w:tab/>
      </w:r>
      <w:r>
        <w:rPr>
          <w:rFonts w:ascii="Times New Roman" w:hAnsi="Times New Roman" w:cs="Times New Roman"/>
          <w:noProof/>
          <w:sz w:val="28"/>
          <w:szCs w:val="28"/>
          <w:lang w:val="sr-Cyrl-RS"/>
        </w:rPr>
        <w:t>International Conference</w:t>
      </w:r>
      <w:r w:rsidRPr="00A0149E">
        <w:rPr>
          <w:rFonts w:ascii="Times New Roman" w:hAnsi="Times New Roman" w:cs="Times New Roman"/>
          <w:noProof/>
          <w:sz w:val="28"/>
          <w:szCs w:val="28"/>
          <w:lang w:val="sr-Cyrl-RS"/>
        </w:rPr>
        <w:t xml:space="preserve"> </w:t>
      </w:r>
      <w:r w:rsidRPr="00A0149E">
        <w:rPr>
          <w:rFonts w:ascii="Times New Roman" w:hAnsi="Times New Roman" w:cs="Times New Roman"/>
          <w:i/>
          <w:noProof/>
          <w:sz w:val="28"/>
          <w:szCs w:val="28"/>
          <w:lang w:val="sr-Cyrl-RS"/>
        </w:rPr>
        <w:t>Obscuritа</w:t>
      </w:r>
      <w:r w:rsidRPr="00A0149E">
        <w:rPr>
          <w:rFonts w:ascii="Times New Roman" w:hAnsi="Times New Roman" w:cs="Times New Roman"/>
          <w:i/>
          <w:noProof/>
          <w:sz w:val="28"/>
          <w:szCs w:val="28"/>
        </w:rPr>
        <w:t>s</w:t>
      </w:r>
      <w:r w:rsidRPr="00A0149E">
        <w:rPr>
          <w:rFonts w:ascii="Times New Roman" w:hAnsi="Times New Roman" w:cs="Times New Roman"/>
          <w:i/>
          <w:noProof/>
          <w:sz w:val="28"/>
          <w:szCs w:val="28"/>
          <w:lang w:val="sr-Cyrl-RS"/>
        </w:rPr>
        <w:t xml:space="preserve"> in the Middle Ages</w:t>
      </w:r>
      <w:r w:rsidRPr="00A0149E">
        <w:rPr>
          <w:rFonts w:ascii="Times New Roman" w:hAnsi="Times New Roman" w:cs="Times New Roman"/>
          <w:noProof/>
          <w:sz w:val="28"/>
          <w:szCs w:val="28"/>
          <w:lang w:val="sr-Cyrl-RS"/>
        </w:rPr>
        <w:t xml:space="preserve">, </w:t>
      </w:r>
      <w:r>
        <w:rPr>
          <w:rFonts w:ascii="Times New Roman" w:hAnsi="Times New Roman" w:cs="Times New Roman"/>
          <w:noProof/>
          <w:sz w:val="28"/>
          <w:szCs w:val="28"/>
          <w:lang w:val="sr-Cyrl-RS"/>
        </w:rPr>
        <w:t>Faculty of Humanities and Faculty of Ar</w:t>
      </w:r>
      <w:r w:rsidR="00706157">
        <w:rPr>
          <w:rFonts w:ascii="Times New Roman" w:hAnsi="Times New Roman" w:cs="Times New Roman"/>
          <w:noProof/>
          <w:sz w:val="28"/>
          <w:szCs w:val="28"/>
          <w:lang w:val="sr-Cyrl-RS"/>
        </w:rPr>
        <w:t>ts, Charles University</w:t>
      </w:r>
      <w:r>
        <w:rPr>
          <w:rFonts w:ascii="Times New Roman" w:hAnsi="Times New Roman" w:cs="Times New Roman"/>
          <w:noProof/>
          <w:sz w:val="28"/>
          <w:szCs w:val="28"/>
          <w:lang w:val="sr-Cyrl-RS"/>
        </w:rPr>
        <w:t>, Prague, the Czech Republic (October 6–8);</w:t>
      </w:r>
    </w:p>
    <w:p w:rsidR="00630D5E" w:rsidRDefault="007C264A">
      <w:pPr>
        <w:spacing w:after="120"/>
        <w:ind w:left="2124" w:hanging="2124"/>
        <w:jc w:val="both"/>
      </w:pPr>
      <w:r>
        <w:rPr>
          <w:rFonts w:ascii="Times New Roman" w:hAnsi="Times New Roman" w:cs="Times New Roman"/>
          <w:sz w:val="28"/>
          <w:szCs w:val="28"/>
        </w:rPr>
        <w:t>2011</w:t>
      </w:r>
      <w:r w:rsidR="00630D5E">
        <w:rPr>
          <w:rFonts w:ascii="Times New Roman" w:hAnsi="Times New Roman" w:cs="Times New Roman"/>
          <w:sz w:val="28"/>
          <w:szCs w:val="28"/>
        </w:rPr>
        <w:tab/>
      </w:r>
      <w:r>
        <w:rPr>
          <w:rFonts w:ascii="Times New Roman" w:hAnsi="Times New Roman" w:cs="Times New Roman"/>
          <w:sz w:val="28"/>
          <w:szCs w:val="28"/>
        </w:rPr>
        <w:t xml:space="preserve">The Third International </w:t>
      </w:r>
      <w:proofErr w:type="spellStart"/>
      <w:r>
        <w:rPr>
          <w:rFonts w:ascii="Times New Roman" w:hAnsi="Times New Roman" w:cs="Times New Roman"/>
          <w:sz w:val="28"/>
          <w:szCs w:val="28"/>
        </w:rPr>
        <w:t>ESSWE</w:t>
      </w:r>
      <w:proofErr w:type="spellEnd"/>
      <w:r>
        <w:rPr>
          <w:rFonts w:ascii="Times New Roman" w:hAnsi="Times New Roman" w:cs="Times New Roman"/>
          <w:sz w:val="28"/>
          <w:szCs w:val="28"/>
        </w:rPr>
        <w:t xml:space="preserve"> Conference </w:t>
      </w:r>
      <w:r w:rsidRPr="007C264A">
        <w:rPr>
          <w:rStyle w:val="Emphasis"/>
          <w:rFonts w:ascii="Times New Roman" w:hAnsi="Times New Roman" w:cs="Times New Roman"/>
          <w:sz w:val="28"/>
          <w:szCs w:val="28"/>
        </w:rPr>
        <w:t>Lux</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in</w:t>
      </w:r>
      <w:r w:rsidRPr="007C264A">
        <w:rPr>
          <w:rStyle w:val="Emphasis"/>
          <w:rFonts w:ascii="Times New Roman" w:hAnsi="Times New Roman" w:cs="Times New Roman"/>
          <w:sz w:val="28"/>
          <w:szCs w:val="28"/>
          <w:lang w:val="sr-Cyrl-RS"/>
        </w:rPr>
        <w:t xml:space="preserve"> </w:t>
      </w:r>
      <w:proofErr w:type="spellStart"/>
      <w:r w:rsidRPr="007C264A">
        <w:rPr>
          <w:rStyle w:val="Emphasis"/>
          <w:rFonts w:ascii="Times New Roman" w:hAnsi="Times New Roman" w:cs="Times New Roman"/>
          <w:sz w:val="28"/>
          <w:szCs w:val="28"/>
        </w:rPr>
        <w:t>Tenebris</w:t>
      </w:r>
      <w:proofErr w:type="spellEnd"/>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The</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Visual</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and</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the</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Symbolic</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in</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Western</w:t>
      </w:r>
      <w:r w:rsidRPr="007C264A">
        <w:rPr>
          <w:rStyle w:val="Emphasis"/>
          <w:rFonts w:ascii="Times New Roman" w:hAnsi="Times New Roman" w:cs="Times New Roman"/>
          <w:sz w:val="28"/>
          <w:szCs w:val="28"/>
          <w:lang w:val="sr-Cyrl-RS"/>
        </w:rPr>
        <w:t xml:space="preserve"> </w:t>
      </w:r>
      <w:r w:rsidRPr="007C264A">
        <w:rPr>
          <w:rStyle w:val="Emphasis"/>
          <w:rFonts w:ascii="Times New Roman" w:hAnsi="Times New Roman" w:cs="Times New Roman"/>
          <w:sz w:val="28"/>
          <w:szCs w:val="28"/>
        </w:rPr>
        <w:t>Esotericism</w:t>
      </w:r>
      <w:r>
        <w:rPr>
          <w:rStyle w:val="Emphasis"/>
          <w:rFonts w:ascii="Times New Roman" w:hAnsi="Times New Roman" w:cs="Times New Roman"/>
          <w:i w:val="0"/>
          <w:sz w:val="28"/>
          <w:szCs w:val="28"/>
          <w:lang w:val="sr-Cyrl-RS"/>
        </w:rPr>
        <w:t>, University of Szeged, Szeged</w:t>
      </w:r>
      <w:r w:rsidRPr="007C264A">
        <w:rPr>
          <w:rStyle w:val="Emphasis"/>
          <w:rFonts w:ascii="Times New Roman" w:hAnsi="Times New Roman" w:cs="Times New Roman"/>
          <w:i w:val="0"/>
          <w:sz w:val="28"/>
          <w:szCs w:val="28"/>
          <w:lang w:val="sr-Cyrl-RS"/>
        </w:rPr>
        <w:t xml:space="preserve">, </w:t>
      </w:r>
      <w:r>
        <w:rPr>
          <w:rStyle w:val="Emphasis"/>
          <w:rFonts w:ascii="Times New Roman" w:hAnsi="Times New Roman" w:cs="Times New Roman"/>
          <w:i w:val="0"/>
          <w:sz w:val="28"/>
          <w:szCs w:val="28"/>
          <w:lang w:val="sr-Cyrl-RS"/>
        </w:rPr>
        <w:t>Hungary (July 6–10);</w:t>
      </w:r>
    </w:p>
    <w:p w:rsidR="00630D5E" w:rsidRDefault="00D54424">
      <w:pPr>
        <w:spacing w:after="120"/>
        <w:ind w:left="2124" w:hanging="2124"/>
        <w:jc w:val="both"/>
      </w:pPr>
      <w:r>
        <w:rPr>
          <w:rFonts w:ascii="Times New Roman" w:hAnsi="Times New Roman" w:cs="Times New Roman"/>
          <w:sz w:val="28"/>
          <w:szCs w:val="28"/>
          <w:lang w:val="en-GB"/>
        </w:rPr>
        <w:t>2011</w:t>
      </w:r>
      <w:r w:rsidR="00630D5E">
        <w:rPr>
          <w:rFonts w:ascii="Times New Roman" w:hAnsi="Times New Roman" w:cs="Times New Roman"/>
          <w:sz w:val="28"/>
          <w:szCs w:val="28"/>
          <w:lang w:val="en-GB"/>
        </w:rPr>
        <w:tab/>
      </w:r>
      <w:r w:rsidR="00A0149E">
        <w:rPr>
          <w:rFonts w:ascii="Times New Roman" w:hAnsi="Times New Roman" w:cs="Times New Roman"/>
          <w:sz w:val="28"/>
          <w:szCs w:val="28"/>
          <w:lang w:val="en-GB"/>
        </w:rPr>
        <w:t xml:space="preserve">Graduate Student </w:t>
      </w:r>
      <w:r w:rsidR="00CF47F7">
        <w:rPr>
          <w:rFonts w:ascii="Times New Roman" w:hAnsi="Times New Roman" w:cs="Times New Roman"/>
          <w:sz w:val="28"/>
          <w:szCs w:val="28"/>
          <w:lang w:val="en-GB"/>
        </w:rPr>
        <w:t xml:space="preserve">Conference </w:t>
      </w:r>
      <w:r w:rsidR="00CF47F7" w:rsidRPr="00CF47F7">
        <w:rPr>
          <w:rFonts w:ascii="Times New Roman" w:hAnsi="Times New Roman" w:cs="Times New Roman"/>
          <w:i/>
          <w:sz w:val="28"/>
          <w:szCs w:val="28"/>
        </w:rPr>
        <w:t>Science</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and</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Magic</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Ways</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of</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Knowing</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in</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the</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Early</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Modern</w:t>
      </w:r>
      <w:r w:rsidR="00CF47F7" w:rsidRPr="00CF47F7">
        <w:rPr>
          <w:rFonts w:ascii="Times New Roman" w:hAnsi="Times New Roman" w:cs="Times New Roman"/>
          <w:i/>
          <w:sz w:val="28"/>
          <w:szCs w:val="28"/>
          <w:lang w:val="sr-Cyrl-RS"/>
        </w:rPr>
        <w:t xml:space="preserve"> </w:t>
      </w:r>
      <w:r w:rsidR="00CF47F7" w:rsidRPr="00CF47F7">
        <w:rPr>
          <w:rFonts w:ascii="Times New Roman" w:hAnsi="Times New Roman" w:cs="Times New Roman"/>
          <w:i/>
          <w:sz w:val="28"/>
          <w:szCs w:val="28"/>
        </w:rPr>
        <w:t>World</w:t>
      </w:r>
      <w:r w:rsidR="00CF47F7">
        <w:rPr>
          <w:rFonts w:ascii="Times New Roman" w:hAnsi="Times New Roman" w:cs="Times New Roman"/>
          <w:sz w:val="28"/>
          <w:szCs w:val="28"/>
          <w:lang w:val="sr-Cyrl-RS"/>
        </w:rPr>
        <w:t>, Princeton University, Princeton, USA (April 29–30);</w:t>
      </w:r>
    </w:p>
    <w:p w:rsidR="00630D5E" w:rsidRPr="00CF47F7" w:rsidRDefault="00CF47F7">
      <w:pPr>
        <w:spacing w:after="120"/>
        <w:ind w:left="2124" w:hanging="2124"/>
        <w:jc w:val="both"/>
        <w:rPr>
          <w:rFonts w:ascii="Times New Roman" w:hAnsi="Times New Roman" w:cs="Times New Roman"/>
          <w:sz w:val="28"/>
          <w:szCs w:val="28"/>
        </w:rPr>
      </w:pPr>
      <w:r>
        <w:rPr>
          <w:rFonts w:ascii="Times New Roman" w:hAnsi="Times New Roman" w:cs="Times New Roman"/>
          <w:sz w:val="28"/>
          <w:szCs w:val="28"/>
        </w:rPr>
        <w:t>2010</w:t>
      </w:r>
      <w:r w:rsidR="00630D5E">
        <w:rPr>
          <w:rFonts w:ascii="Times New Roman" w:hAnsi="Times New Roman" w:cs="Times New Roman"/>
          <w:sz w:val="28"/>
          <w:szCs w:val="28"/>
        </w:rPr>
        <w:tab/>
      </w:r>
      <w:r>
        <w:rPr>
          <w:rFonts w:ascii="Times New Roman" w:hAnsi="Times New Roman" w:cs="Times New Roman"/>
          <w:sz w:val="28"/>
          <w:szCs w:val="28"/>
        </w:rPr>
        <w:t>Workshop</w:t>
      </w:r>
      <w:r w:rsidRPr="00CF47F7">
        <w:rPr>
          <w:rFonts w:ascii="Times New Roman" w:hAnsi="Times New Roman" w:cs="Times New Roman"/>
          <w:sz w:val="28"/>
          <w:szCs w:val="28"/>
        </w:rPr>
        <w:t xml:space="preserve"> </w:t>
      </w:r>
      <w:r w:rsidRPr="00CF47F7">
        <w:rPr>
          <w:rFonts w:ascii="Times New Roman" w:hAnsi="Times New Roman" w:cs="Times New Roman"/>
          <w:i/>
          <w:sz w:val="28"/>
          <w:szCs w:val="28"/>
        </w:rPr>
        <w:t>Spiritualism, Esotericism, Early Modern Culture</w:t>
      </w:r>
      <w:r w:rsidRPr="00CF47F7">
        <w:rPr>
          <w:rFonts w:ascii="Times New Roman" w:hAnsi="Times New Roman" w:cs="Times New Roman"/>
          <w:sz w:val="28"/>
          <w:szCs w:val="28"/>
        </w:rPr>
        <w:t>,</w:t>
      </w:r>
      <w:r>
        <w:rPr>
          <w:rFonts w:ascii="Times New Roman" w:hAnsi="Times New Roman" w:cs="Times New Roman"/>
          <w:sz w:val="28"/>
          <w:szCs w:val="28"/>
        </w:rPr>
        <w:t xml:space="preserve"> (Organizer: </w:t>
      </w:r>
      <w:r w:rsidRPr="00D162B6">
        <w:rPr>
          <w:rFonts w:ascii="Times New Roman" w:hAnsi="Times New Roman" w:cs="Times New Roman"/>
          <w:sz w:val="28"/>
          <w:szCs w:val="28"/>
        </w:rPr>
        <w:t xml:space="preserve">György E. </w:t>
      </w:r>
      <w:proofErr w:type="spellStart"/>
      <w:r w:rsidRPr="00D162B6">
        <w:rPr>
          <w:rFonts w:ascii="Times New Roman" w:hAnsi="Times New Roman" w:cs="Times New Roman"/>
          <w:sz w:val="28"/>
          <w:szCs w:val="28"/>
        </w:rPr>
        <w:t>Szőnyi</w:t>
      </w:r>
      <w:proofErr w:type="spellEnd"/>
      <w:r>
        <w:rPr>
          <w:rFonts w:ascii="Times New Roman" w:hAnsi="Times New Roman" w:cs="Times New Roman"/>
          <w:sz w:val="28"/>
          <w:szCs w:val="28"/>
        </w:rPr>
        <w:t>),</w:t>
      </w:r>
      <w:r w:rsidRPr="00CF47F7">
        <w:rPr>
          <w:rFonts w:ascii="Times New Roman" w:hAnsi="Times New Roman" w:cs="Times New Roman"/>
          <w:sz w:val="28"/>
          <w:szCs w:val="28"/>
        </w:rPr>
        <w:t xml:space="preserve"> Faculty of Arts, University of Szeged</w:t>
      </w:r>
      <w:r w:rsidR="007C264A">
        <w:rPr>
          <w:rFonts w:ascii="Times New Roman" w:hAnsi="Times New Roman" w:cs="Times New Roman"/>
          <w:sz w:val="28"/>
          <w:szCs w:val="28"/>
        </w:rPr>
        <w:t>, Szeged, Hungary</w:t>
      </w:r>
      <w:r>
        <w:rPr>
          <w:rFonts w:ascii="Times New Roman" w:hAnsi="Times New Roman" w:cs="Times New Roman"/>
          <w:sz w:val="28"/>
          <w:szCs w:val="28"/>
        </w:rPr>
        <w:t xml:space="preserve"> (November 25–26);</w:t>
      </w:r>
    </w:p>
    <w:p w:rsidR="00630D5E" w:rsidRDefault="00CF47F7">
      <w:pPr>
        <w:spacing w:after="120"/>
        <w:ind w:left="2124" w:hanging="2124"/>
        <w:jc w:val="both"/>
        <w:rPr>
          <w:rFonts w:ascii="Times New Roman" w:hAnsi="Times New Roman" w:cs="Times New Roman"/>
          <w:sz w:val="28"/>
          <w:szCs w:val="28"/>
        </w:rPr>
      </w:pPr>
      <w:r>
        <w:rPr>
          <w:rFonts w:ascii="Times New Roman" w:hAnsi="Times New Roman" w:cs="Times New Roman"/>
          <w:sz w:val="28"/>
          <w:szCs w:val="28"/>
        </w:rPr>
        <w:t>2010</w:t>
      </w:r>
      <w:r w:rsidR="00630D5E">
        <w:rPr>
          <w:rFonts w:ascii="Times New Roman" w:hAnsi="Times New Roman" w:cs="Times New Roman"/>
          <w:sz w:val="28"/>
          <w:szCs w:val="28"/>
        </w:rPr>
        <w:tab/>
      </w:r>
      <w:r>
        <w:rPr>
          <w:rFonts w:ascii="Times New Roman" w:hAnsi="Times New Roman" w:cs="Times New Roman"/>
          <w:sz w:val="28"/>
          <w:szCs w:val="28"/>
        </w:rPr>
        <w:t>Summer University in Religious Studies</w:t>
      </w:r>
      <w:r w:rsidRPr="00CF47F7">
        <w:rPr>
          <w:rFonts w:ascii="Times New Roman" w:hAnsi="Times New Roman" w:cs="Times New Roman"/>
          <w:sz w:val="28"/>
          <w:szCs w:val="28"/>
        </w:rPr>
        <w:t xml:space="preserve"> </w:t>
      </w:r>
      <w:r w:rsidRPr="00CF47F7">
        <w:rPr>
          <w:rFonts w:ascii="Times New Roman" w:hAnsi="Times New Roman" w:cs="Times New Roman"/>
          <w:i/>
          <w:sz w:val="28"/>
          <w:szCs w:val="28"/>
        </w:rPr>
        <w:t>Messianism – Jewish and Christian Perspectives</w:t>
      </w:r>
      <w:r>
        <w:rPr>
          <w:rFonts w:ascii="Times New Roman" w:hAnsi="Times New Roman" w:cs="Times New Roman"/>
          <w:sz w:val="28"/>
          <w:szCs w:val="28"/>
        </w:rPr>
        <w:t xml:space="preserve"> (Directors: Michael L. Miller, Matthias Riedl),</w:t>
      </w:r>
      <w:r w:rsidRPr="00CF47F7">
        <w:rPr>
          <w:rFonts w:ascii="Times New Roman" w:hAnsi="Times New Roman" w:cs="Times New Roman"/>
          <w:sz w:val="28"/>
          <w:szCs w:val="28"/>
        </w:rPr>
        <w:t xml:space="preserve"> Central European University, Budapest</w:t>
      </w:r>
      <w:r>
        <w:rPr>
          <w:rFonts w:ascii="Times New Roman" w:hAnsi="Times New Roman" w:cs="Times New Roman"/>
          <w:sz w:val="28"/>
          <w:szCs w:val="28"/>
        </w:rPr>
        <w:t>, Hungary (July 5–15);</w:t>
      </w: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pPr>
        <w:spacing w:after="120"/>
        <w:ind w:left="2124" w:hanging="2124"/>
        <w:jc w:val="both"/>
        <w:rPr>
          <w:rFonts w:ascii="Times New Roman" w:hAnsi="Times New Roman" w:cs="Times New Roman"/>
          <w:sz w:val="28"/>
          <w:szCs w:val="28"/>
        </w:rPr>
      </w:pPr>
    </w:p>
    <w:p w:rsidR="002B0F26" w:rsidRDefault="002B0F26" w:rsidP="002B0F26">
      <w:pPr>
        <w:pageBreakBefore/>
        <w:pBdr>
          <w:top w:val="none" w:sz="0" w:space="0" w:color="000000"/>
          <w:left w:val="none" w:sz="0" w:space="0" w:color="000000"/>
          <w:bottom w:val="single" w:sz="6" w:space="1" w:color="00000A"/>
          <w:right w:val="none" w:sz="0" w:space="0" w:color="000000"/>
        </w:pBdr>
        <w:spacing w:after="120"/>
        <w:jc w:val="both"/>
      </w:pPr>
      <w:r>
        <w:rPr>
          <w:rFonts w:ascii="Times New Roman" w:hAnsi="Times New Roman" w:cs="Times New Roman"/>
          <w:b/>
          <w:color w:val="0000FF"/>
          <w:sz w:val="28"/>
          <w:szCs w:val="28"/>
        </w:rPr>
        <w:lastRenderedPageBreak/>
        <w:t>Published works relevant to the Dissertation</w:t>
      </w:r>
    </w:p>
    <w:p w:rsidR="00A204CD" w:rsidRDefault="00A204CD" w:rsidP="000D2F73">
      <w:pPr>
        <w:spacing w:after="120"/>
        <w:ind w:left="720" w:hanging="720"/>
        <w:jc w:val="both"/>
        <w:rPr>
          <w:rFonts w:ascii="Times New Roman" w:hAnsi="Times New Roman" w:cs="Times New Roman"/>
          <w:sz w:val="28"/>
          <w:szCs w:val="28"/>
        </w:rPr>
      </w:pPr>
    </w:p>
    <w:p w:rsidR="00174DFF" w:rsidRDefault="00174DFF" w:rsidP="00174DFF">
      <w:pPr>
        <w:spacing w:after="240"/>
        <w:ind w:left="720" w:hanging="720"/>
        <w:jc w:val="both"/>
        <w:rPr>
          <w:rFonts w:ascii="Times New Roman" w:hAnsi="Times New Roman" w:cs="Times New Roman"/>
          <w:sz w:val="28"/>
          <w:szCs w:val="28"/>
        </w:rPr>
      </w:pPr>
      <w:r w:rsidRPr="00174DFF">
        <w:rPr>
          <w:rFonts w:ascii="Times New Roman" w:hAnsi="Times New Roman" w:cs="Times New Roman"/>
          <w:b/>
          <w:sz w:val="28"/>
          <w:szCs w:val="28"/>
        </w:rPr>
        <w:t>Book</w:t>
      </w:r>
      <w:r>
        <w:rPr>
          <w:rFonts w:ascii="Times New Roman" w:hAnsi="Times New Roman" w:cs="Times New Roman"/>
          <w:sz w:val="28"/>
          <w:szCs w:val="28"/>
        </w:rPr>
        <w:t>:</w:t>
      </w:r>
    </w:p>
    <w:p w:rsidR="00174DFF" w:rsidRDefault="00174DFF" w:rsidP="00174DFF">
      <w:pPr>
        <w:spacing w:after="360"/>
        <w:ind w:left="720" w:hanging="720"/>
        <w:jc w:val="both"/>
        <w:rPr>
          <w:rFonts w:ascii="Times New Roman" w:hAnsi="Times New Roman" w:cs="Times New Roman"/>
          <w:sz w:val="28"/>
          <w:szCs w:val="28"/>
          <w:lang w:val="hr-HR"/>
        </w:rPr>
      </w:pPr>
      <w:r w:rsidRPr="008E6A19">
        <w:rPr>
          <w:rFonts w:ascii="Times New Roman" w:hAnsi="Times New Roman" w:cs="Times New Roman"/>
          <w:i/>
          <w:sz w:val="28"/>
          <w:szCs w:val="28"/>
        </w:rPr>
        <w:t>The Pious Impiety of Agrippa’s Magic</w:t>
      </w:r>
      <w:r w:rsidRPr="008E6A19">
        <w:rPr>
          <w:rFonts w:ascii="Times New Roman" w:hAnsi="Times New Roman" w:cs="Times New Roman"/>
          <w:i/>
          <w:sz w:val="28"/>
          <w:szCs w:val="28"/>
          <w:lang w:val="hr-HR"/>
        </w:rPr>
        <w:t>: Two Conflicting Notions of Ascension in</w:t>
      </w:r>
      <w:r>
        <w:rPr>
          <w:rFonts w:ascii="Times New Roman" w:hAnsi="Times New Roman" w:cs="Times New Roman"/>
          <w:i/>
          <w:sz w:val="28"/>
          <w:szCs w:val="28"/>
          <w:lang w:val="hr-HR"/>
        </w:rPr>
        <w:t xml:space="preserve"> the Works of Cornelius Agrippa</w:t>
      </w:r>
      <w:r w:rsidRPr="008E6A19">
        <w:rPr>
          <w:rFonts w:ascii="Times New Roman" w:hAnsi="Times New Roman" w:cs="Times New Roman"/>
          <w:i/>
          <w:sz w:val="28"/>
          <w:szCs w:val="28"/>
          <w:lang w:val="hr-HR"/>
        </w:rPr>
        <w:t xml:space="preserve"> </w:t>
      </w:r>
      <w:r>
        <w:rPr>
          <w:rFonts w:ascii="Times New Roman" w:hAnsi="Times New Roman" w:cs="Times New Roman"/>
          <w:sz w:val="28"/>
          <w:szCs w:val="28"/>
          <w:lang w:val="hr-HR"/>
        </w:rPr>
        <w:t>(Saarbr</w:t>
      </w:r>
      <w:r w:rsidRPr="008E6A19">
        <w:rPr>
          <w:rFonts w:ascii="Times New Roman" w:hAnsi="Times New Roman" w:cs="Times New Roman"/>
          <w:sz w:val="28"/>
          <w:szCs w:val="28"/>
          <w:lang w:val="hr-HR"/>
        </w:rPr>
        <w:t>ück</w:t>
      </w:r>
      <w:r>
        <w:rPr>
          <w:rFonts w:ascii="Times New Roman" w:hAnsi="Times New Roman" w:cs="Times New Roman"/>
          <w:sz w:val="28"/>
          <w:szCs w:val="28"/>
          <w:lang w:val="hr-HR"/>
        </w:rPr>
        <w:t>en: VDM Verlag Dr. Müller, 2010);</w:t>
      </w:r>
    </w:p>
    <w:p w:rsidR="00174DFF" w:rsidRPr="00174DFF" w:rsidRDefault="00B836D0" w:rsidP="00174DFF">
      <w:pPr>
        <w:spacing w:after="240"/>
        <w:ind w:left="720" w:hanging="720"/>
        <w:jc w:val="both"/>
        <w:rPr>
          <w:rFonts w:ascii="Times New Roman" w:hAnsi="Times New Roman" w:cs="Times New Roman"/>
          <w:b/>
          <w:sz w:val="28"/>
          <w:szCs w:val="28"/>
          <w:lang w:val="sr-Latn-RS"/>
        </w:rPr>
      </w:pPr>
      <w:r>
        <w:rPr>
          <w:rFonts w:ascii="Times New Roman" w:hAnsi="Times New Roman" w:cs="Times New Roman"/>
          <w:b/>
          <w:sz w:val="28"/>
          <w:szCs w:val="28"/>
        </w:rPr>
        <w:t>Articles</w:t>
      </w:r>
      <w:r w:rsidR="00174DFF" w:rsidRPr="00174DFF">
        <w:rPr>
          <w:rFonts w:ascii="Times New Roman" w:hAnsi="Times New Roman" w:cs="Times New Roman"/>
          <w:b/>
          <w:sz w:val="28"/>
          <w:szCs w:val="28"/>
        </w:rPr>
        <w:t>/book chapters:</w:t>
      </w:r>
    </w:p>
    <w:p w:rsidR="000D2F73" w:rsidRPr="000D2F73" w:rsidRDefault="000D2F73" w:rsidP="000D2F73">
      <w:pPr>
        <w:spacing w:after="120"/>
        <w:ind w:left="720" w:hanging="720"/>
        <w:jc w:val="both"/>
        <w:rPr>
          <w:rFonts w:ascii="Times New Roman" w:hAnsi="Times New Roman" w:cs="Times New Roman"/>
          <w:sz w:val="28"/>
          <w:szCs w:val="28"/>
        </w:rPr>
      </w:pPr>
      <w:r w:rsidRPr="000D2F73">
        <w:rPr>
          <w:rFonts w:ascii="Times New Roman" w:hAnsi="Times New Roman" w:cs="Times New Roman"/>
          <w:sz w:val="28"/>
          <w:szCs w:val="28"/>
        </w:rPr>
        <w:t xml:space="preserve">“Agrippa’s Cosmic Ladder: Building a World with Words in the </w:t>
      </w:r>
      <w:r w:rsidRPr="000D2F73">
        <w:rPr>
          <w:rFonts w:ascii="Times New Roman" w:hAnsi="Times New Roman" w:cs="Times New Roman"/>
          <w:i/>
          <w:sz w:val="28"/>
          <w:szCs w:val="28"/>
        </w:rPr>
        <w:t xml:space="preserve">De Occulta </w:t>
      </w:r>
      <w:proofErr w:type="spellStart"/>
      <w:r w:rsidRPr="000D2F73">
        <w:rPr>
          <w:rFonts w:ascii="Times New Roman" w:hAnsi="Times New Roman" w:cs="Times New Roman"/>
          <w:i/>
          <w:sz w:val="28"/>
          <w:szCs w:val="28"/>
        </w:rPr>
        <w:t>Philosophia</w:t>
      </w:r>
      <w:proofErr w:type="spellEnd"/>
      <w:r w:rsidRPr="000D2F73">
        <w:rPr>
          <w:rFonts w:ascii="Times New Roman" w:hAnsi="Times New Roman" w:cs="Times New Roman"/>
          <w:sz w:val="28"/>
          <w:szCs w:val="28"/>
        </w:rPr>
        <w:t>,</w:t>
      </w:r>
      <w:r>
        <w:rPr>
          <w:rFonts w:ascii="Times New Roman" w:hAnsi="Times New Roman" w:cs="Times New Roman"/>
          <w:sz w:val="28"/>
          <w:szCs w:val="28"/>
        </w:rPr>
        <w:t>”</w:t>
      </w:r>
      <w:r w:rsidR="00CF62DC">
        <w:rPr>
          <w:rFonts w:ascii="Times New Roman" w:hAnsi="Times New Roman" w:cs="Times New Roman"/>
          <w:sz w:val="28"/>
          <w:szCs w:val="28"/>
        </w:rPr>
        <w:t xml:space="preserve"> in</w:t>
      </w:r>
      <w:r w:rsidRPr="000D2F73">
        <w:rPr>
          <w:rFonts w:ascii="Times New Roman" w:hAnsi="Times New Roman" w:cs="Times New Roman"/>
          <w:sz w:val="28"/>
          <w:szCs w:val="28"/>
        </w:rPr>
        <w:t xml:space="preserve"> </w:t>
      </w:r>
      <w:r w:rsidRPr="000D2F73">
        <w:rPr>
          <w:rFonts w:ascii="Times New Roman" w:hAnsi="Times New Roman" w:cs="Times New Roman"/>
          <w:i/>
          <w:sz w:val="28"/>
          <w:szCs w:val="28"/>
        </w:rPr>
        <w:t xml:space="preserve">Lux in </w:t>
      </w:r>
      <w:proofErr w:type="spellStart"/>
      <w:r w:rsidRPr="000D2F73">
        <w:rPr>
          <w:rFonts w:ascii="Times New Roman" w:hAnsi="Times New Roman" w:cs="Times New Roman"/>
          <w:i/>
          <w:sz w:val="28"/>
          <w:szCs w:val="28"/>
        </w:rPr>
        <w:t>tenebris</w:t>
      </w:r>
      <w:proofErr w:type="spellEnd"/>
      <w:r w:rsidRPr="000D2F73">
        <w:rPr>
          <w:rFonts w:ascii="Times New Roman" w:hAnsi="Times New Roman" w:cs="Times New Roman"/>
          <w:i/>
          <w:sz w:val="28"/>
          <w:szCs w:val="28"/>
        </w:rPr>
        <w:t xml:space="preserve">: </w:t>
      </w:r>
      <w:proofErr w:type="gramStart"/>
      <w:r w:rsidRPr="000D2F73">
        <w:rPr>
          <w:rFonts w:ascii="Times New Roman" w:hAnsi="Times New Roman" w:cs="Times New Roman"/>
          <w:i/>
          <w:sz w:val="28"/>
          <w:szCs w:val="28"/>
        </w:rPr>
        <w:t>the</w:t>
      </w:r>
      <w:proofErr w:type="gramEnd"/>
      <w:r w:rsidRPr="000D2F73">
        <w:rPr>
          <w:rFonts w:ascii="Times New Roman" w:hAnsi="Times New Roman" w:cs="Times New Roman"/>
          <w:i/>
          <w:sz w:val="28"/>
          <w:szCs w:val="28"/>
        </w:rPr>
        <w:t xml:space="preserve"> Visual and the Symbolic in Western Esotericism</w:t>
      </w:r>
      <w:r>
        <w:rPr>
          <w:rFonts w:ascii="Times New Roman" w:hAnsi="Times New Roman" w:cs="Times New Roman"/>
          <w:sz w:val="28"/>
          <w:szCs w:val="28"/>
        </w:rPr>
        <w:t>, ed</w:t>
      </w:r>
      <w:r w:rsidRPr="000D2F73">
        <w:rPr>
          <w:rFonts w:ascii="Times New Roman" w:hAnsi="Times New Roman" w:cs="Times New Roman"/>
          <w:sz w:val="28"/>
          <w:szCs w:val="28"/>
        </w:rPr>
        <w:t>. Peter J. Forshaw (Leiden: Brill, 2016)</w:t>
      </w:r>
      <w:r>
        <w:rPr>
          <w:rFonts w:ascii="Times New Roman" w:hAnsi="Times New Roman" w:cs="Times New Roman"/>
          <w:sz w:val="28"/>
          <w:szCs w:val="28"/>
        </w:rPr>
        <w:t>, 81–102</w:t>
      </w:r>
      <w:r w:rsidRPr="000D2F73">
        <w:rPr>
          <w:rFonts w:ascii="Times New Roman" w:hAnsi="Times New Roman" w:cs="Times New Roman"/>
          <w:sz w:val="28"/>
          <w:szCs w:val="28"/>
        </w:rPr>
        <w:t>;</w:t>
      </w:r>
    </w:p>
    <w:p w:rsidR="000D2F73" w:rsidRPr="00A204CD" w:rsidRDefault="00FF3282" w:rsidP="000D2F73">
      <w:pPr>
        <w:spacing w:after="120"/>
        <w:ind w:left="720" w:hanging="720"/>
        <w:jc w:val="both"/>
        <w:rPr>
          <w:rFonts w:ascii="Times New Roman" w:hAnsi="Times New Roman" w:cs="Times New Roman"/>
          <w:sz w:val="28"/>
          <w:szCs w:val="28"/>
        </w:rPr>
      </w:pPr>
      <w:r w:rsidRPr="000D2F73">
        <w:rPr>
          <w:rFonts w:ascii="Times New Roman" w:hAnsi="Times New Roman" w:cs="Times New Roman"/>
          <w:sz w:val="28"/>
          <w:szCs w:val="28"/>
        </w:rPr>
        <w:t>“</w:t>
      </w:r>
      <w:r w:rsidR="000D2F73" w:rsidRPr="00A204CD">
        <w:rPr>
          <w:rFonts w:ascii="Times New Roman" w:hAnsi="Times New Roman" w:cs="Times New Roman"/>
          <w:i/>
          <w:sz w:val="28"/>
          <w:szCs w:val="28"/>
        </w:rPr>
        <w:t xml:space="preserve">Plato </w:t>
      </w:r>
      <w:proofErr w:type="spellStart"/>
      <w:r w:rsidR="000D2F73" w:rsidRPr="00A204CD">
        <w:rPr>
          <w:rFonts w:ascii="Times New Roman" w:hAnsi="Times New Roman" w:cs="Times New Roman"/>
          <w:i/>
          <w:sz w:val="28"/>
          <w:szCs w:val="28"/>
        </w:rPr>
        <w:t>Ficinianus</w:t>
      </w:r>
      <w:proofErr w:type="spellEnd"/>
      <w:r w:rsidR="000D2F73" w:rsidRPr="00A204CD">
        <w:rPr>
          <w:rFonts w:ascii="Times New Roman" w:hAnsi="Times New Roman" w:cs="Times New Roman"/>
          <w:sz w:val="28"/>
          <w:szCs w:val="28"/>
        </w:rPr>
        <w:t xml:space="preserve">: </w:t>
      </w:r>
      <w:r w:rsidR="00A7739C">
        <w:rPr>
          <w:rFonts w:ascii="Times New Roman" w:hAnsi="Times New Roman" w:cs="Times New Roman"/>
          <w:sz w:val="28"/>
          <w:szCs w:val="28"/>
          <w:lang w:val="sr-Cyrl-RS"/>
        </w:rPr>
        <w:t>jedan renesansni primer recepcionističke kritike</w:t>
      </w:r>
      <w:r>
        <w:rPr>
          <w:rFonts w:ascii="Times New Roman" w:hAnsi="Times New Roman" w:cs="Times New Roman"/>
          <w:sz w:val="28"/>
          <w:szCs w:val="28"/>
        </w:rPr>
        <w:t>”</w:t>
      </w:r>
      <w:r w:rsidRPr="00A204CD">
        <w:rPr>
          <w:rFonts w:ascii="Times New Roman" w:hAnsi="Times New Roman" w:cs="Times New Roman"/>
          <w:sz w:val="28"/>
          <w:szCs w:val="28"/>
        </w:rPr>
        <w:t xml:space="preserve"> </w:t>
      </w:r>
      <w:r w:rsidR="00A204CD" w:rsidRPr="00A204CD">
        <w:rPr>
          <w:rFonts w:ascii="Times New Roman" w:hAnsi="Times New Roman" w:cs="Times New Roman"/>
          <w:sz w:val="28"/>
          <w:szCs w:val="28"/>
        </w:rPr>
        <w:t>[</w:t>
      </w:r>
      <w:r w:rsidR="00A204CD" w:rsidRPr="00A204CD">
        <w:rPr>
          <w:rFonts w:ascii="Times New Roman" w:hAnsi="Times New Roman" w:cs="Times New Roman"/>
          <w:i/>
          <w:sz w:val="28"/>
          <w:szCs w:val="28"/>
        </w:rPr>
        <w:t xml:space="preserve">Plato </w:t>
      </w:r>
      <w:proofErr w:type="spellStart"/>
      <w:r w:rsidR="00A204CD" w:rsidRPr="00A204CD">
        <w:rPr>
          <w:rFonts w:ascii="Times New Roman" w:hAnsi="Times New Roman" w:cs="Times New Roman"/>
          <w:i/>
          <w:sz w:val="28"/>
          <w:szCs w:val="28"/>
        </w:rPr>
        <w:t>Ficinianus</w:t>
      </w:r>
      <w:proofErr w:type="spellEnd"/>
      <w:r w:rsidR="00A204CD" w:rsidRPr="00A204CD">
        <w:rPr>
          <w:rFonts w:ascii="Times New Roman" w:hAnsi="Times New Roman" w:cs="Times New Roman"/>
          <w:sz w:val="28"/>
          <w:szCs w:val="28"/>
        </w:rPr>
        <w:t>: A Renaissance Example of Reader-Response Criticism]</w:t>
      </w:r>
      <w:r w:rsidR="000D2F73" w:rsidRPr="00A204CD">
        <w:rPr>
          <w:rFonts w:ascii="Times New Roman" w:hAnsi="Times New Roman" w:cs="Times New Roman"/>
          <w:sz w:val="28"/>
          <w:szCs w:val="28"/>
          <w:lang w:val="hr-HR"/>
        </w:rPr>
        <w:t xml:space="preserve">, </w:t>
      </w:r>
      <w:r w:rsidR="000D2F73" w:rsidRPr="00A204CD">
        <w:rPr>
          <w:rFonts w:ascii="Times New Roman" w:hAnsi="Times New Roman" w:cs="Times New Roman"/>
          <w:i/>
          <w:iCs/>
          <w:sz w:val="28"/>
          <w:szCs w:val="28"/>
        </w:rPr>
        <w:t xml:space="preserve">Lucida </w:t>
      </w:r>
      <w:proofErr w:type="spellStart"/>
      <w:r w:rsidR="000D2F73" w:rsidRPr="00A204CD">
        <w:rPr>
          <w:rFonts w:ascii="Times New Roman" w:hAnsi="Times New Roman" w:cs="Times New Roman"/>
          <w:i/>
          <w:iCs/>
          <w:sz w:val="28"/>
          <w:szCs w:val="28"/>
        </w:rPr>
        <w:t>intervalla</w:t>
      </w:r>
      <w:proofErr w:type="spellEnd"/>
      <w:r w:rsidR="000D2F73" w:rsidRPr="00A204CD">
        <w:rPr>
          <w:rFonts w:ascii="Times New Roman" w:hAnsi="Times New Roman" w:cs="Times New Roman"/>
          <w:i/>
          <w:iCs/>
          <w:sz w:val="28"/>
          <w:szCs w:val="28"/>
        </w:rPr>
        <w:t xml:space="preserve">, </w:t>
      </w:r>
      <w:r w:rsidR="00A204CD" w:rsidRPr="00A204CD">
        <w:rPr>
          <w:rFonts w:ascii="Times New Roman" w:hAnsi="Times New Roman" w:cs="Times New Roman"/>
          <w:i/>
          <w:sz w:val="28"/>
          <w:szCs w:val="28"/>
        </w:rPr>
        <w:t>A Journal of Classical Studies</w:t>
      </w:r>
      <w:r w:rsidR="00A204CD" w:rsidRPr="00A204CD">
        <w:rPr>
          <w:rFonts w:ascii="Times New Roman" w:hAnsi="Times New Roman" w:cs="Times New Roman"/>
          <w:sz w:val="28"/>
          <w:szCs w:val="28"/>
        </w:rPr>
        <w:t>, Vol. 43</w:t>
      </w:r>
      <w:r w:rsidR="000D2F73" w:rsidRPr="00A204CD">
        <w:rPr>
          <w:rFonts w:ascii="Times New Roman" w:hAnsi="Times New Roman" w:cs="Times New Roman"/>
          <w:i/>
          <w:iCs/>
          <w:sz w:val="28"/>
          <w:szCs w:val="28"/>
        </w:rPr>
        <w:t xml:space="preserve"> </w:t>
      </w:r>
      <w:r w:rsidR="00A204CD">
        <w:rPr>
          <w:rFonts w:ascii="Times New Roman" w:hAnsi="Times New Roman" w:cs="Times New Roman"/>
          <w:sz w:val="28"/>
          <w:szCs w:val="28"/>
        </w:rPr>
        <w:t>(2014): 165–</w:t>
      </w:r>
      <w:r w:rsidR="000D2F73" w:rsidRPr="00A204CD">
        <w:rPr>
          <w:rFonts w:ascii="Times New Roman" w:hAnsi="Times New Roman" w:cs="Times New Roman"/>
          <w:sz w:val="28"/>
          <w:szCs w:val="28"/>
        </w:rPr>
        <w:t>94;</w:t>
      </w:r>
    </w:p>
    <w:p w:rsidR="000D2F73" w:rsidRDefault="000D2F73" w:rsidP="000D2F73">
      <w:pPr>
        <w:pStyle w:val="Default"/>
        <w:spacing w:after="120"/>
        <w:ind w:left="720" w:hanging="720"/>
        <w:jc w:val="both"/>
        <w:rPr>
          <w:rStyle w:val="st"/>
          <w:sz w:val="28"/>
          <w:szCs w:val="28"/>
        </w:rPr>
      </w:pPr>
      <w:r w:rsidRPr="000D2F73">
        <w:rPr>
          <w:sz w:val="28"/>
          <w:szCs w:val="28"/>
        </w:rPr>
        <w:t>“To Be Born (Again) from God: Scriptural Obscurity as a Doctrinal Way Out for Cornelius Agrippa</w:t>
      </w:r>
      <w:r w:rsidR="00A204CD">
        <w:rPr>
          <w:sz w:val="28"/>
          <w:szCs w:val="28"/>
        </w:rPr>
        <w:t>,”</w:t>
      </w:r>
      <w:r w:rsidRPr="000D2F73">
        <w:rPr>
          <w:sz w:val="28"/>
          <w:szCs w:val="28"/>
        </w:rPr>
        <w:t xml:space="preserve"> </w:t>
      </w:r>
      <w:r w:rsidR="00CF62DC">
        <w:rPr>
          <w:sz w:val="28"/>
          <w:szCs w:val="28"/>
        </w:rPr>
        <w:t xml:space="preserve">in </w:t>
      </w:r>
      <w:r w:rsidRPr="000D2F73">
        <w:rPr>
          <w:i/>
          <w:sz w:val="28"/>
          <w:szCs w:val="28"/>
        </w:rPr>
        <w:t>Obscurity in Medieval Texts</w:t>
      </w:r>
      <w:r w:rsidR="00A204CD">
        <w:rPr>
          <w:sz w:val="28"/>
          <w:szCs w:val="28"/>
        </w:rPr>
        <w:t>, ed.</w:t>
      </w:r>
      <w:r w:rsidRPr="000D2F73">
        <w:rPr>
          <w:sz w:val="28"/>
          <w:szCs w:val="28"/>
        </w:rPr>
        <w:t xml:space="preserve"> Lucie </w:t>
      </w:r>
      <w:proofErr w:type="spellStart"/>
      <w:r w:rsidRPr="000D2F73">
        <w:rPr>
          <w:sz w:val="28"/>
          <w:szCs w:val="28"/>
        </w:rPr>
        <w:t>Doležalová</w:t>
      </w:r>
      <w:proofErr w:type="spellEnd"/>
      <w:r w:rsidRPr="000D2F73">
        <w:rPr>
          <w:sz w:val="28"/>
          <w:szCs w:val="28"/>
        </w:rPr>
        <w:t xml:space="preserve">, Jeff Rider, Alessandro </w:t>
      </w:r>
      <w:proofErr w:type="spellStart"/>
      <w:r w:rsidRPr="000D2F73">
        <w:rPr>
          <w:sz w:val="28"/>
          <w:szCs w:val="28"/>
        </w:rPr>
        <w:t>Zironi</w:t>
      </w:r>
      <w:proofErr w:type="spellEnd"/>
      <w:r w:rsidRPr="000D2F73">
        <w:rPr>
          <w:sz w:val="28"/>
          <w:szCs w:val="28"/>
        </w:rPr>
        <w:t>, (</w:t>
      </w:r>
      <w:r w:rsidRPr="000D2F73">
        <w:rPr>
          <w:rStyle w:val="st"/>
          <w:sz w:val="28"/>
          <w:szCs w:val="28"/>
        </w:rPr>
        <w:t xml:space="preserve">Medium Aevum </w:t>
      </w:r>
      <w:proofErr w:type="spellStart"/>
      <w:r w:rsidRPr="000D2F73">
        <w:rPr>
          <w:rStyle w:val="st"/>
          <w:sz w:val="28"/>
          <w:szCs w:val="28"/>
        </w:rPr>
        <w:t>Quotidianum</w:t>
      </w:r>
      <w:proofErr w:type="spellEnd"/>
      <w:r w:rsidRPr="000D2F73">
        <w:rPr>
          <w:rStyle w:val="st"/>
          <w:sz w:val="28"/>
          <w:szCs w:val="28"/>
        </w:rPr>
        <w:t xml:space="preserve">, </w:t>
      </w:r>
      <w:proofErr w:type="spellStart"/>
      <w:r w:rsidRPr="000D2F73">
        <w:rPr>
          <w:rStyle w:val="st"/>
          <w:sz w:val="28"/>
          <w:szCs w:val="28"/>
        </w:rPr>
        <w:t>S</w:t>
      </w:r>
      <w:r w:rsidR="00A204CD">
        <w:rPr>
          <w:rStyle w:val="st"/>
          <w:sz w:val="28"/>
          <w:szCs w:val="28"/>
        </w:rPr>
        <w:t>onderband</w:t>
      </w:r>
      <w:proofErr w:type="spellEnd"/>
      <w:r w:rsidR="00A204CD">
        <w:rPr>
          <w:rStyle w:val="st"/>
          <w:sz w:val="28"/>
          <w:szCs w:val="28"/>
        </w:rPr>
        <w:t xml:space="preserve"> 30: </w:t>
      </w:r>
      <w:proofErr w:type="spellStart"/>
      <w:r w:rsidR="00A204CD">
        <w:rPr>
          <w:rStyle w:val="st"/>
          <w:sz w:val="28"/>
          <w:szCs w:val="28"/>
        </w:rPr>
        <w:t>Krems</w:t>
      </w:r>
      <w:proofErr w:type="spellEnd"/>
      <w:r w:rsidR="00A204CD">
        <w:rPr>
          <w:rStyle w:val="st"/>
          <w:sz w:val="28"/>
          <w:szCs w:val="28"/>
        </w:rPr>
        <w:t>, 2013), 153–</w:t>
      </w:r>
      <w:r w:rsidR="00885F58">
        <w:rPr>
          <w:rStyle w:val="st"/>
          <w:sz w:val="28"/>
          <w:szCs w:val="28"/>
        </w:rPr>
        <w:t>63;</w:t>
      </w:r>
    </w:p>
    <w:p w:rsidR="00F4563A" w:rsidRDefault="00F4563A" w:rsidP="00F4563A">
      <w:pPr>
        <w:spacing w:after="120"/>
        <w:ind w:left="720" w:hanging="720"/>
        <w:jc w:val="both"/>
        <w:rPr>
          <w:rFonts w:ascii="Times New Roman" w:hAnsi="Times New Roman" w:cs="Times New Roman"/>
          <w:sz w:val="28"/>
          <w:szCs w:val="28"/>
          <w:lang w:val="hr-HR"/>
        </w:rPr>
      </w:pPr>
      <w:r>
        <w:rPr>
          <w:rFonts w:ascii="Times New Roman" w:hAnsi="Times New Roman" w:cs="Times New Roman"/>
          <w:sz w:val="28"/>
          <w:szCs w:val="28"/>
          <w:lang w:val="hr-HR"/>
        </w:rPr>
        <w:t>Мarsilio Ficino</w:t>
      </w:r>
      <w:r w:rsidRPr="00F4563A">
        <w:rPr>
          <w:rFonts w:ascii="Times New Roman" w:hAnsi="Times New Roman" w:cs="Times New Roman"/>
          <w:sz w:val="28"/>
          <w:szCs w:val="28"/>
          <w:lang w:val="hr-HR"/>
        </w:rPr>
        <w:t xml:space="preserve">, </w:t>
      </w:r>
      <w:r w:rsidRPr="00F4563A">
        <w:rPr>
          <w:rFonts w:ascii="Times New Roman" w:hAnsi="Times New Roman" w:cs="Times New Roman"/>
          <w:i/>
          <w:sz w:val="28"/>
          <w:szCs w:val="28"/>
          <w:lang w:val="hr-HR"/>
        </w:rPr>
        <w:t>Argumentum ad Platonis Ionem</w:t>
      </w:r>
      <w:r w:rsidR="004E437E">
        <w:rPr>
          <w:rFonts w:ascii="Times New Roman" w:hAnsi="Times New Roman" w:cs="Times New Roman"/>
          <w:sz w:val="28"/>
          <w:szCs w:val="28"/>
          <w:lang w:val="hr-HR"/>
        </w:rPr>
        <w:t xml:space="preserve">, </w:t>
      </w:r>
      <w:r w:rsidR="00BB49DA">
        <w:rPr>
          <w:rFonts w:ascii="Times New Roman" w:hAnsi="Times New Roman" w:cs="Times New Roman"/>
          <w:sz w:val="28"/>
          <w:szCs w:val="28"/>
          <w:lang w:val="hr-HR"/>
        </w:rPr>
        <w:t xml:space="preserve">Serbian </w:t>
      </w:r>
      <w:r>
        <w:rPr>
          <w:rFonts w:ascii="Times New Roman" w:hAnsi="Times New Roman" w:cs="Times New Roman"/>
          <w:sz w:val="28"/>
          <w:szCs w:val="28"/>
          <w:lang w:val="hr-HR"/>
        </w:rPr>
        <w:t>translation with an introduction and notes</w:t>
      </w:r>
      <w:r w:rsidR="004E437E">
        <w:rPr>
          <w:rFonts w:ascii="Times New Roman" w:hAnsi="Times New Roman" w:cs="Times New Roman"/>
          <w:sz w:val="28"/>
          <w:szCs w:val="28"/>
          <w:lang w:val="hr-HR"/>
        </w:rPr>
        <w:t>,</w:t>
      </w:r>
      <w:r>
        <w:rPr>
          <w:rFonts w:ascii="Times New Roman" w:hAnsi="Times New Roman" w:cs="Times New Roman"/>
          <w:sz w:val="28"/>
          <w:szCs w:val="28"/>
          <w:lang w:val="hr-HR"/>
        </w:rPr>
        <w:t xml:space="preserve"> in</w:t>
      </w:r>
      <w:r w:rsidR="00EA7AE4">
        <w:rPr>
          <w:rFonts w:ascii="Times New Roman" w:hAnsi="Times New Roman" w:cs="Times New Roman"/>
          <w:sz w:val="28"/>
          <w:szCs w:val="28"/>
          <w:lang w:val="hr-HR"/>
        </w:rPr>
        <w:t>:</w:t>
      </w:r>
      <w:r w:rsidRPr="00F4563A">
        <w:rPr>
          <w:rFonts w:ascii="Times New Roman" w:hAnsi="Times New Roman" w:cs="Times New Roman"/>
          <w:sz w:val="28"/>
          <w:szCs w:val="28"/>
          <w:lang w:val="hr-HR"/>
        </w:rPr>
        <w:t xml:space="preserve"> Platon, </w:t>
      </w:r>
      <w:r w:rsidRPr="00F4563A">
        <w:rPr>
          <w:rFonts w:ascii="Times New Roman" w:hAnsi="Times New Roman" w:cs="Times New Roman"/>
          <w:i/>
          <w:sz w:val="28"/>
          <w:szCs w:val="28"/>
          <w:lang w:val="hr-HR"/>
        </w:rPr>
        <w:t>Ijon</w:t>
      </w:r>
      <w:r w:rsidR="004E437E">
        <w:rPr>
          <w:rFonts w:ascii="Times New Roman" w:hAnsi="Times New Roman" w:cs="Times New Roman"/>
          <w:sz w:val="28"/>
          <w:szCs w:val="28"/>
          <w:lang w:val="hr-HR"/>
        </w:rPr>
        <w:t>, tr</w:t>
      </w:r>
      <w:r w:rsidRPr="00F4563A">
        <w:rPr>
          <w:rFonts w:ascii="Times New Roman" w:hAnsi="Times New Roman" w:cs="Times New Roman"/>
          <w:sz w:val="28"/>
          <w:szCs w:val="28"/>
          <w:lang w:val="hr-HR"/>
        </w:rPr>
        <w:t xml:space="preserve">. Divna Stevanović-Soleil </w:t>
      </w:r>
      <w:r w:rsidR="00BC0C24">
        <w:rPr>
          <w:rFonts w:ascii="Times New Roman" w:hAnsi="Times New Roman" w:cs="Times New Roman"/>
          <w:sz w:val="28"/>
          <w:szCs w:val="28"/>
          <w:lang w:val="hr-HR"/>
        </w:rPr>
        <w:t>(Belgrade: Fedon, 2010), 115–</w:t>
      </w:r>
      <w:r w:rsidRPr="00F4563A">
        <w:rPr>
          <w:rFonts w:ascii="Times New Roman" w:hAnsi="Times New Roman" w:cs="Times New Roman"/>
          <w:sz w:val="28"/>
          <w:szCs w:val="28"/>
          <w:lang w:val="hr-HR"/>
        </w:rPr>
        <w:t>37;</w:t>
      </w:r>
    </w:p>
    <w:p w:rsidR="00FF3282" w:rsidRDefault="005A2538" w:rsidP="00FF3282">
      <w:pPr>
        <w:spacing w:after="120"/>
        <w:ind w:left="720" w:hanging="720"/>
        <w:jc w:val="both"/>
        <w:rPr>
          <w:rFonts w:ascii="Times New Roman" w:hAnsi="Times New Roman" w:cs="Times New Roman"/>
          <w:sz w:val="28"/>
          <w:szCs w:val="28"/>
          <w:lang w:val="hr-HR"/>
        </w:rPr>
      </w:pPr>
      <w:r w:rsidRPr="005A2538">
        <w:rPr>
          <w:rFonts w:ascii="Times New Roman" w:hAnsi="Times New Roman" w:cs="Times New Roman"/>
          <w:sz w:val="28"/>
          <w:szCs w:val="28"/>
        </w:rPr>
        <w:t>“</w:t>
      </w:r>
      <w:r w:rsidR="00FF3282" w:rsidRPr="00FF3282">
        <w:rPr>
          <w:rFonts w:ascii="Times New Roman" w:hAnsi="Times New Roman" w:cs="Times New Roman"/>
          <w:sz w:val="28"/>
          <w:szCs w:val="28"/>
          <w:lang w:val="hr-HR"/>
        </w:rPr>
        <w:t xml:space="preserve">Two Apparently Conflicting Notions of Ascension in the </w:t>
      </w:r>
      <w:r>
        <w:rPr>
          <w:rFonts w:ascii="Times New Roman" w:hAnsi="Times New Roman" w:cs="Times New Roman"/>
          <w:sz w:val="28"/>
          <w:szCs w:val="28"/>
          <w:lang w:val="hr-HR"/>
        </w:rPr>
        <w:t>Works of Agrippa von Nettesheim</w:t>
      </w:r>
      <w:r w:rsidR="00FF3282" w:rsidRPr="00FF3282">
        <w:rPr>
          <w:rFonts w:ascii="Times New Roman" w:hAnsi="Times New Roman" w:cs="Times New Roman"/>
          <w:sz w:val="28"/>
          <w:szCs w:val="28"/>
          <w:lang w:val="hr-HR"/>
        </w:rPr>
        <w:t>,</w:t>
      </w:r>
      <w:r w:rsidRPr="005A2538">
        <w:rPr>
          <w:rFonts w:ascii="Times New Roman" w:hAnsi="Times New Roman" w:cs="Times New Roman"/>
          <w:sz w:val="28"/>
          <w:szCs w:val="28"/>
        </w:rPr>
        <w:t>”</w:t>
      </w:r>
      <w:r>
        <w:rPr>
          <w:sz w:val="28"/>
          <w:szCs w:val="28"/>
        </w:rPr>
        <w:t xml:space="preserve"> </w:t>
      </w:r>
      <w:r w:rsidR="00FF3282" w:rsidRPr="00FF3282">
        <w:rPr>
          <w:rFonts w:ascii="Times New Roman" w:hAnsi="Times New Roman" w:cs="Times New Roman"/>
          <w:i/>
          <w:iCs/>
          <w:sz w:val="28"/>
          <w:szCs w:val="28"/>
          <w:lang w:val="hr-HR"/>
        </w:rPr>
        <w:t>Annual of Medieval Studies at CEU</w:t>
      </w:r>
      <w:r w:rsidR="002F781F">
        <w:rPr>
          <w:rFonts w:ascii="Times New Roman" w:hAnsi="Times New Roman" w:cs="Times New Roman"/>
          <w:sz w:val="28"/>
          <w:szCs w:val="28"/>
          <w:lang w:val="hr-HR"/>
        </w:rPr>
        <w:t xml:space="preserve"> 14 (2008): 121–</w:t>
      </w:r>
      <w:r w:rsidR="00FF3282" w:rsidRPr="00FF3282">
        <w:rPr>
          <w:rFonts w:ascii="Times New Roman" w:hAnsi="Times New Roman" w:cs="Times New Roman"/>
          <w:sz w:val="28"/>
          <w:szCs w:val="28"/>
          <w:lang w:val="hr-HR"/>
        </w:rPr>
        <w:t>36;</w:t>
      </w:r>
    </w:p>
    <w:p w:rsidR="002B0F26" w:rsidRPr="0072342C" w:rsidRDefault="00B82820" w:rsidP="0072342C">
      <w:pPr>
        <w:spacing w:after="120"/>
        <w:ind w:left="720" w:hanging="720"/>
        <w:jc w:val="both"/>
        <w:rPr>
          <w:rFonts w:ascii="Times New Roman" w:hAnsi="Times New Roman" w:cs="Times New Roman"/>
          <w:sz w:val="28"/>
          <w:szCs w:val="28"/>
          <w:lang w:val="hr-HR"/>
        </w:rPr>
      </w:pPr>
      <w:r w:rsidRPr="005A2538">
        <w:rPr>
          <w:rFonts w:ascii="Times New Roman" w:hAnsi="Times New Roman" w:cs="Times New Roman"/>
          <w:sz w:val="28"/>
          <w:szCs w:val="28"/>
        </w:rPr>
        <w:t>“</w:t>
      </w:r>
      <w:r w:rsidRPr="00B82820">
        <w:rPr>
          <w:rFonts w:ascii="Times New Roman" w:hAnsi="Times New Roman" w:cs="Times New Roman"/>
          <w:sz w:val="28"/>
          <w:szCs w:val="28"/>
          <w:lang w:val="hr-HR"/>
        </w:rPr>
        <w:t>Kornelije Agripa i Johan Trit</w:t>
      </w:r>
      <w:r>
        <w:rPr>
          <w:rFonts w:ascii="Times New Roman" w:hAnsi="Times New Roman" w:cs="Times New Roman"/>
          <w:sz w:val="28"/>
          <w:szCs w:val="28"/>
          <w:lang w:val="hr-HR"/>
        </w:rPr>
        <w:t>emije: teološka odbrana magije</w:t>
      </w:r>
      <w:r w:rsidRPr="005A2538">
        <w:rPr>
          <w:rFonts w:ascii="Times New Roman" w:hAnsi="Times New Roman" w:cs="Times New Roman"/>
          <w:sz w:val="28"/>
          <w:szCs w:val="28"/>
        </w:rPr>
        <w:t>”</w:t>
      </w:r>
      <w:r>
        <w:rPr>
          <w:rFonts w:ascii="Times New Roman" w:hAnsi="Times New Roman" w:cs="Times New Roman"/>
          <w:sz w:val="28"/>
          <w:szCs w:val="28"/>
        </w:rPr>
        <w:t xml:space="preserve"> [Cornelius Agrippa and Johannes </w:t>
      </w:r>
      <w:proofErr w:type="spellStart"/>
      <w:r>
        <w:rPr>
          <w:rFonts w:ascii="Times New Roman" w:hAnsi="Times New Roman" w:cs="Times New Roman"/>
          <w:sz w:val="28"/>
          <w:szCs w:val="28"/>
        </w:rPr>
        <w:t>Trithemius</w:t>
      </w:r>
      <w:proofErr w:type="spellEnd"/>
      <w:r>
        <w:rPr>
          <w:rFonts w:ascii="Times New Roman" w:hAnsi="Times New Roman" w:cs="Times New Roman"/>
          <w:sz w:val="28"/>
          <w:szCs w:val="28"/>
        </w:rPr>
        <w:t>: a theological defense of magic],</w:t>
      </w:r>
      <w:r w:rsidRPr="00B82820">
        <w:rPr>
          <w:rFonts w:ascii="Times New Roman" w:hAnsi="Times New Roman" w:cs="Times New Roman"/>
          <w:sz w:val="28"/>
          <w:szCs w:val="28"/>
          <w:lang w:val="hr-HR"/>
        </w:rPr>
        <w:t xml:space="preserve"> </w:t>
      </w:r>
      <w:r w:rsidR="000B4272">
        <w:rPr>
          <w:rFonts w:ascii="Times New Roman" w:hAnsi="Times New Roman" w:cs="Times New Roman"/>
          <w:i/>
          <w:iCs/>
          <w:sz w:val="28"/>
          <w:szCs w:val="28"/>
          <w:lang w:val="hr-HR"/>
        </w:rPr>
        <w:t>Koraci,</w:t>
      </w:r>
      <w:r>
        <w:rPr>
          <w:rFonts w:ascii="Times New Roman" w:hAnsi="Times New Roman" w:cs="Times New Roman"/>
          <w:sz w:val="28"/>
          <w:szCs w:val="28"/>
          <w:lang w:val="hr-HR"/>
        </w:rPr>
        <w:t xml:space="preserve"> </w:t>
      </w:r>
      <w:r w:rsidR="00BB49DA" w:rsidRPr="00BB49DA">
        <w:rPr>
          <w:rFonts w:ascii="Times New Roman" w:hAnsi="Times New Roman" w:cs="Times New Roman"/>
          <w:i/>
          <w:sz w:val="28"/>
          <w:szCs w:val="28"/>
          <w:lang w:val="hr-HR"/>
        </w:rPr>
        <w:t>A Journal of Humanities and Arts</w:t>
      </w:r>
      <w:r w:rsidR="00BB49DA">
        <w:rPr>
          <w:rFonts w:ascii="Times New Roman" w:hAnsi="Times New Roman" w:cs="Times New Roman"/>
          <w:sz w:val="28"/>
          <w:szCs w:val="28"/>
          <w:lang w:val="hr-HR"/>
        </w:rPr>
        <w:t xml:space="preserve">, </w:t>
      </w:r>
      <w:r>
        <w:rPr>
          <w:rFonts w:ascii="Times New Roman" w:hAnsi="Times New Roman" w:cs="Times New Roman"/>
          <w:sz w:val="28"/>
          <w:szCs w:val="28"/>
        </w:rPr>
        <w:t>Vol. 38</w:t>
      </w:r>
      <w:r w:rsidRPr="00B82820">
        <w:rPr>
          <w:rFonts w:ascii="Times New Roman" w:hAnsi="Times New Roman" w:cs="Times New Roman"/>
          <w:sz w:val="28"/>
          <w:szCs w:val="28"/>
          <w:lang w:val="sr-Cyrl-CS"/>
        </w:rPr>
        <w:t xml:space="preserve"> (2008)</w:t>
      </w:r>
      <w:r>
        <w:rPr>
          <w:rFonts w:ascii="Times New Roman" w:hAnsi="Times New Roman" w:cs="Times New Roman"/>
          <w:sz w:val="28"/>
          <w:szCs w:val="28"/>
          <w:lang w:val="hr-HR"/>
        </w:rPr>
        <w:t>: 98–</w:t>
      </w:r>
      <w:r w:rsidRPr="00B82820">
        <w:rPr>
          <w:rFonts w:ascii="Times New Roman" w:hAnsi="Times New Roman" w:cs="Times New Roman"/>
          <w:sz w:val="28"/>
          <w:szCs w:val="28"/>
          <w:lang w:val="hr-HR"/>
        </w:rPr>
        <w:t>103;</w:t>
      </w:r>
    </w:p>
    <w:sectPr w:rsidR="002B0F26" w:rsidRPr="0072342C">
      <w:pgSz w:w="12240" w:h="15840"/>
      <w:pgMar w:top="1134" w:right="1077" w:bottom="1134" w:left="107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309">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E4"/>
    <w:rsid w:val="00023587"/>
    <w:rsid w:val="00026B0A"/>
    <w:rsid w:val="00083B94"/>
    <w:rsid w:val="000B4272"/>
    <w:rsid w:val="000D2F73"/>
    <w:rsid w:val="00141AF2"/>
    <w:rsid w:val="00171FAA"/>
    <w:rsid w:val="00174DFF"/>
    <w:rsid w:val="001A2261"/>
    <w:rsid w:val="001F44FF"/>
    <w:rsid w:val="00264B7D"/>
    <w:rsid w:val="002676D2"/>
    <w:rsid w:val="00294A83"/>
    <w:rsid w:val="002B0F26"/>
    <w:rsid w:val="002E21C0"/>
    <w:rsid w:val="002E385A"/>
    <w:rsid w:val="002F781F"/>
    <w:rsid w:val="00312A62"/>
    <w:rsid w:val="003365AC"/>
    <w:rsid w:val="00366355"/>
    <w:rsid w:val="00385318"/>
    <w:rsid w:val="003A0973"/>
    <w:rsid w:val="003A4273"/>
    <w:rsid w:val="004457B3"/>
    <w:rsid w:val="00454987"/>
    <w:rsid w:val="004602C4"/>
    <w:rsid w:val="00474A40"/>
    <w:rsid w:val="004823E1"/>
    <w:rsid w:val="004C3410"/>
    <w:rsid w:val="004E277B"/>
    <w:rsid w:val="004E437E"/>
    <w:rsid w:val="00514603"/>
    <w:rsid w:val="0051784A"/>
    <w:rsid w:val="00533589"/>
    <w:rsid w:val="005823E0"/>
    <w:rsid w:val="00593A04"/>
    <w:rsid w:val="005A2538"/>
    <w:rsid w:val="0060124C"/>
    <w:rsid w:val="00630D5E"/>
    <w:rsid w:val="006B47AA"/>
    <w:rsid w:val="006C1123"/>
    <w:rsid w:val="006C49C5"/>
    <w:rsid w:val="006D1D79"/>
    <w:rsid w:val="0070471F"/>
    <w:rsid w:val="00706157"/>
    <w:rsid w:val="0072342C"/>
    <w:rsid w:val="0075579B"/>
    <w:rsid w:val="00797A5D"/>
    <w:rsid w:val="007C264A"/>
    <w:rsid w:val="008110BA"/>
    <w:rsid w:val="00831DE9"/>
    <w:rsid w:val="00885F58"/>
    <w:rsid w:val="0089387A"/>
    <w:rsid w:val="008A621B"/>
    <w:rsid w:val="008E6A19"/>
    <w:rsid w:val="00912232"/>
    <w:rsid w:val="0092283A"/>
    <w:rsid w:val="009839E5"/>
    <w:rsid w:val="00983F74"/>
    <w:rsid w:val="009B7A5B"/>
    <w:rsid w:val="009C58E8"/>
    <w:rsid w:val="00A0149E"/>
    <w:rsid w:val="00A15776"/>
    <w:rsid w:val="00A204CD"/>
    <w:rsid w:val="00A235EC"/>
    <w:rsid w:val="00A71CC1"/>
    <w:rsid w:val="00A7739C"/>
    <w:rsid w:val="00AC0D3F"/>
    <w:rsid w:val="00B23D0D"/>
    <w:rsid w:val="00B67664"/>
    <w:rsid w:val="00B82820"/>
    <w:rsid w:val="00B836D0"/>
    <w:rsid w:val="00B94B8F"/>
    <w:rsid w:val="00BB49DA"/>
    <w:rsid w:val="00BC0C24"/>
    <w:rsid w:val="00C103C2"/>
    <w:rsid w:val="00C44FF1"/>
    <w:rsid w:val="00CC3D9C"/>
    <w:rsid w:val="00CF05B8"/>
    <w:rsid w:val="00CF47F7"/>
    <w:rsid w:val="00CF62DC"/>
    <w:rsid w:val="00D54424"/>
    <w:rsid w:val="00D62771"/>
    <w:rsid w:val="00E04592"/>
    <w:rsid w:val="00E3763E"/>
    <w:rsid w:val="00E972A5"/>
    <w:rsid w:val="00EA2F8D"/>
    <w:rsid w:val="00EA7AE4"/>
    <w:rsid w:val="00EB39E4"/>
    <w:rsid w:val="00EB55BE"/>
    <w:rsid w:val="00F4341C"/>
    <w:rsid w:val="00F4563A"/>
    <w:rsid w:val="00F45680"/>
    <w:rsid w:val="00F555A1"/>
    <w:rsid w:val="00F81A7E"/>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E9C395"/>
  <w15:chartTrackingRefBased/>
  <w15:docId w15:val="{4A8BE741-E939-43B5-A588-9476A9F6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160" w:line="259" w:lineRule="auto"/>
    </w:pPr>
    <w:rPr>
      <w:rFonts w:ascii="Calibri" w:eastAsia="Calibri" w:hAnsi="Calibri" w:cs="Arial"/>
      <w:kern w:val="1"/>
      <w:sz w:val="22"/>
      <w:szCs w:val="22"/>
      <w:lang w:bidi="he-IL"/>
    </w:rPr>
  </w:style>
  <w:style w:type="paragraph" w:styleId="Heading1">
    <w:name w:val="heading 1"/>
    <w:basedOn w:val="Normal"/>
    <w:next w:val="Normal"/>
    <w:qFormat/>
    <w:pPr>
      <w:keepNext/>
      <w:spacing w:after="0" w:line="240" w:lineRule="auto"/>
      <w:ind w:left="851" w:hanging="851"/>
      <w:jc w:val="center"/>
      <w:outlineLvl w:val="0"/>
    </w:pPr>
    <w:rPr>
      <w:rFonts w:ascii="Times New Roman" w:eastAsia="Times New Roman" w:hAnsi="Times New Roman" w:cs="Times New Roman"/>
      <w:b/>
      <w:bCs/>
      <w:sz w:val="24"/>
      <w:szCs w:val="24"/>
      <w:lang w:val="en-GB" w:eastAsia="zh-CN" w:bidi="ar-SA"/>
    </w:rPr>
  </w:style>
  <w:style w:type="paragraph" w:styleId="Heading2">
    <w:name w:val="heading 2"/>
    <w:basedOn w:val="Normal"/>
    <w:next w:val="Normal"/>
    <w:qFormat/>
    <w:rsid w:val="004602C4"/>
    <w:pPr>
      <w:keepNext/>
      <w:spacing w:before="240" w:after="60"/>
      <w:outlineLvl w:val="1"/>
    </w:pPr>
    <w:rPr>
      <w:rFonts w:ascii="Arial" w:hAnsi="Arial"/>
      <w:b/>
      <w:bCs/>
      <w:i/>
      <w:iCs/>
      <w:sz w:val="28"/>
      <w:szCs w:val="28"/>
    </w:rPr>
  </w:style>
  <w:style w:type="paragraph" w:styleId="Heading3">
    <w:name w:val="heading 3"/>
    <w:basedOn w:val="Normal"/>
    <w:next w:val="Normal"/>
    <w:qFormat/>
    <w:pPr>
      <w:keepNext/>
      <w:keepLines/>
      <w:spacing w:before="40" w:after="0"/>
      <w:outlineLvl w:val="2"/>
    </w:pPr>
    <w:rPr>
      <w:rFonts w:ascii="Calibri Light" w:eastAsia="font309"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4"/>
      <w:lang w:val="en-GB" w:eastAsia="zh-CN" w:bidi="ar-SA"/>
    </w:rPr>
  </w:style>
  <w:style w:type="character" w:customStyle="1" w:styleId="Heading3Char">
    <w:name w:val="Heading 3 Char"/>
    <w:basedOn w:val="DefaultParagraphFont"/>
    <w:rPr>
      <w:rFonts w:ascii="Calibri Light" w:eastAsia="font309" w:hAnsi="Calibri Light" w:cs="Times New Roman"/>
      <w:color w:val="1F3763"/>
      <w:sz w:val="24"/>
      <w:szCs w:val="24"/>
    </w:rPr>
  </w:style>
  <w:style w:type="character" w:customStyle="1" w:styleId="field-content">
    <w:name w:val="field-content"/>
    <w:basedOn w:val="DefaultParagraphFont"/>
  </w:style>
  <w:style w:type="character" w:customStyle="1" w:styleId="style10">
    <w:name w:val="style10"/>
    <w:basedOn w:val="DefaultParagraphFont"/>
  </w:style>
  <w:style w:type="character" w:customStyle="1" w:styleId="BalloonTextChar">
    <w:name w:val="Balloon Text Char"/>
    <w:basedOn w:val="DefaultParagraphFont"/>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Default">
    <w:name w:val="Default"/>
    <w:pPr>
      <w:suppressAutoHyphens/>
    </w:pPr>
    <w:rPr>
      <w:rFonts w:eastAsia="Calibri"/>
      <w:color w:val="000000"/>
      <w:kern w:val="1"/>
      <w:sz w:val="24"/>
      <w:szCs w:val="24"/>
      <w:lang w:bidi="he-I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val="hu-HU" w:eastAsia="hu-HU" w:bidi="ar-SA"/>
    </w:rPr>
  </w:style>
  <w:style w:type="paragraph" w:styleId="BalloonText">
    <w:name w:val="Balloon Text"/>
    <w:basedOn w:val="Normal"/>
    <w:pPr>
      <w:spacing w:after="0" w:line="240" w:lineRule="auto"/>
    </w:pPr>
    <w:rPr>
      <w:rFonts w:ascii="Segoe UI" w:hAnsi="Segoe UI" w:cs="Segoe UI"/>
      <w:sz w:val="18"/>
      <w:szCs w:val="18"/>
    </w:rPr>
  </w:style>
  <w:style w:type="character" w:styleId="Emphasis">
    <w:name w:val="Emphasis"/>
    <w:basedOn w:val="DefaultParagraphFont"/>
    <w:qFormat/>
    <w:rsid w:val="007C264A"/>
    <w:rPr>
      <w:i/>
      <w:iCs/>
    </w:rPr>
  </w:style>
  <w:style w:type="character" w:customStyle="1" w:styleId="st">
    <w:name w:val="st"/>
    <w:basedOn w:val="DefaultParagraphFont"/>
    <w:rsid w:val="000D2F73"/>
  </w:style>
  <w:style w:type="character" w:styleId="Hyperlink">
    <w:name w:val="Hyperlink"/>
    <w:uiPriority w:val="99"/>
    <w:unhideWhenUsed/>
    <w:rsid w:val="009B7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2092</Words>
  <Characters>14437</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Andor Kelenhegyi</dc:creator>
  <cp:keywords/>
  <cp:lastModifiedBy>Csilla Marianna Dobos</cp:lastModifiedBy>
  <cp:revision>5</cp:revision>
  <cp:lastPrinted>2017-10-20T06:48:00Z</cp:lastPrinted>
  <dcterms:created xsi:type="dcterms:W3CDTF">2017-12-13T10:45:00Z</dcterms:created>
  <dcterms:modified xsi:type="dcterms:W3CDTF">2017-12-22T16:08:00Z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